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D0EF9">
      <w:pPr>
        <w:pStyle w:val="3"/>
        <w:bidi w:val="0"/>
        <w:jc w:val="center"/>
        <w:rPr>
          <w:rFonts w:hint="default"/>
          <w:lang w:val="en-US" w:eastAsia="zh-CN"/>
        </w:rPr>
      </w:pPr>
      <w:bookmarkStart w:id="0" w:name="_Toc217446094"/>
      <w:r>
        <w:rPr>
          <w:rFonts w:hint="eastAsia"/>
          <w:lang w:val="en-US" w:eastAsia="zh-CN"/>
        </w:rPr>
        <w:t>采购需求</w:t>
      </w:r>
    </w:p>
    <w:bookmarkEnd w:id="0"/>
    <w:p w14:paraId="44723092">
      <w:pPr>
        <w:snapToGrid w:val="0"/>
        <w:spacing w:line="240" w:lineRule="auto"/>
        <w:ind w:left="525" w:hanging="527"/>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 xml:space="preserve">前提： </w:t>
      </w:r>
    </w:p>
    <w:p w14:paraId="2DF05824">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 xml:space="preserve"> 本章中标注“★ ”的条款为本项目不允许偏离的实质性条款，如投标人不满足的， 将按照无效投标处理；标注“▲ ”的条款为本项目的重要条款，若投标人不满足的，将在详细评审中加重扣分。</w:t>
      </w:r>
    </w:p>
    <w:p w14:paraId="4DE45D49">
      <w:pPr>
        <w:snapToGrid w:val="0"/>
        <w:spacing w:line="360" w:lineRule="auto"/>
        <w:ind w:left="525" w:hanging="527"/>
        <w:textAlignment w:val="baseline"/>
        <w:rPr>
          <w:rFonts w:hint="eastAsia" w:ascii="仿宋" w:hAnsi="仿宋" w:eastAsia="仿宋" w:cs="仿宋"/>
          <w:b/>
          <w:color w:val="auto"/>
          <w:sz w:val="24"/>
          <w:szCs w:val="24"/>
          <w:highlight w:val="none"/>
          <w:lang w:val="en-US" w:eastAsia="zh-CN"/>
        </w:rPr>
      </w:pPr>
    </w:p>
    <w:p w14:paraId="652E4CAD">
      <w:pPr>
        <w:snapToGrid w:val="0"/>
        <w:spacing w:line="360" w:lineRule="auto"/>
        <w:ind w:left="525" w:hanging="527"/>
        <w:textAlignment w:val="baseline"/>
        <w:rPr>
          <w:rFonts w:hint="eastAsia"/>
        </w:rPr>
      </w:pPr>
      <w:r>
        <w:rPr>
          <w:rFonts w:hint="eastAsia" w:ascii="仿宋" w:hAnsi="仿宋" w:eastAsia="仿宋" w:cs="仿宋"/>
          <w:b/>
          <w:color w:val="auto"/>
          <w:sz w:val="24"/>
          <w:szCs w:val="24"/>
          <w:highlight w:val="none"/>
          <w:lang w:val="en-US" w:eastAsia="zh-CN"/>
        </w:rPr>
        <w:t>★</w:t>
      </w:r>
      <w:r>
        <w:rPr>
          <w:rFonts w:hint="eastAsia" w:ascii="仿宋" w:hAnsi="仿宋" w:eastAsia="仿宋" w:cs="仿宋"/>
          <w:b/>
          <w:color w:val="auto"/>
          <w:sz w:val="24"/>
          <w:szCs w:val="24"/>
          <w:highlight w:val="none"/>
        </w:rPr>
        <w:t>一、采购清单</w:t>
      </w:r>
    </w:p>
    <w:tbl>
      <w:tblPr>
        <w:tblStyle w:val="4"/>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687"/>
        <w:gridCol w:w="2738"/>
        <w:gridCol w:w="362"/>
        <w:gridCol w:w="475"/>
        <w:gridCol w:w="1300"/>
        <w:gridCol w:w="1424"/>
        <w:gridCol w:w="1302"/>
      </w:tblGrid>
      <w:tr w14:paraId="0289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4" w:hRule="atLeast"/>
          <w:jc w:val="center"/>
        </w:trPr>
        <w:tc>
          <w:tcPr>
            <w:tcW w:w="689" w:type="dxa"/>
            <w:noWrap w:val="0"/>
            <w:vAlign w:val="center"/>
          </w:tcPr>
          <w:p w14:paraId="2FF161B5">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lang w:val="en-US"/>
              </w:rPr>
            </w:pPr>
            <w:r>
              <w:rPr>
                <w:rFonts w:hint="eastAsia" w:ascii="仿宋" w:hAnsi="仿宋" w:eastAsia="仿宋" w:cs="仿宋"/>
                <w:b/>
                <w:bCs/>
                <w:i w:val="0"/>
                <w:iCs w:val="0"/>
                <w:color w:val="auto"/>
                <w:kern w:val="0"/>
                <w:sz w:val="21"/>
                <w:szCs w:val="21"/>
                <w:highlight w:val="none"/>
                <w:u w:val="none"/>
                <w:lang w:val="en-US" w:eastAsia="zh-CN" w:bidi="ar"/>
              </w:rPr>
              <w:t>包号</w:t>
            </w:r>
          </w:p>
        </w:tc>
        <w:tc>
          <w:tcPr>
            <w:tcW w:w="687" w:type="dxa"/>
            <w:noWrap w:val="0"/>
            <w:vAlign w:val="center"/>
          </w:tcPr>
          <w:p w14:paraId="4AAD3229">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序号</w:t>
            </w:r>
          </w:p>
        </w:tc>
        <w:tc>
          <w:tcPr>
            <w:tcW w:w="2738" w:type="dxa"/>
            <w:noWrap w:val="0"/>
            <w:vAlign w:val="center"/>
          </w:tcPr>
          <w:p w14:paraId="6E8406A2">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采购标的名称</w:t>
            </w:r>
          </w:p>
        </w:tc>
        <w:tc>
          <w:tcPr>
            <w:tcW w:w="362" w:type="dxa"/>
            <w:noWrap w:val="0"/>
            <w:vAlign w:val="center"/>
          </w:tcPr>
          <w:p w14:paraId="1C0A2258">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单位</w:t>
            </w:r>
          </w:p>
        </w:tc>
        <w:tc>
          <w:tcPr>
            <w:tcW w:w="475" w:type="dxa"/>
            <w:noWrap w:val="0"/>
            <w:vAlign w:val="center"/>
          </w:tcPr>
          <w:p w14:paraId="5CE081E2">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数量</w:t>
            </w:r>
          </w:p>
        </w:tc>
        <w:tc>
          <w:tcPr>
            <w:tcW w:w="1300" w:type="dxa"/>
            <w:noWrap w:val="0"/>
            <w:vAlign w:val="center"/>
          </w:tcPr>
          <w:p w14:paraId="5264DB72">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rPr>
            </w:pPr>
            <w:r>
              <w:rPr>
                <w:rFonts w:hint="eastAsia" w:ascii="仿宋" w:hAnsi="仿宋" w:eastAsia="仿宋" w:cs="仿宋"/>
                <w:b/>
                <w:bCs/>
                <w:color w:val="auto"/>
                <w:sz w:val="21"/>
                <w:szCs w:val="21"/>
                <w:highlight w:val="none"/>
                <w:lang w:val="en-US"/>
              </w:rPr>
              <w:t>单价最高</w:t>
            </w:r>
          </w:p>
          <w:p w14:paraId="450E6A4B">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sz w:val="21"/>
                <w:szCs w:val="21"/>
                <w:highlight w:val="none"/>
                <w:lang w:val="en-US"/>
              </w:rPr>
              <w:t>限价（元）</w:t>
            </w:r>
          </w:p>
        </w:tc>
        <w:tc>
          <w:tcPr>
            <w:tcW w:w="1424" w:type="dxa"/>
            <w:noWrap w:val="0"/>
            <w:vAlign w:val="center"/>
          </w:tcPr>
          <w:p w14:paraId="03453E6D">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rPr>
            </w:pPr>
            <w:r>
              <w:rPr>
                <w:rFonts w:hint="eastAsia" w:ascii="仿宋" w:hAnsi="仿宋" w:eastAsia="仿宋" w:cs="仿宋"/>
                <w:b/>
                <w:bCs/>
                <w:color w:val="auto"/>
                <w:sz w:val="21"/>
                <w:szCs w:val="21"/>
                <w:highlight w:val="none"/>
                <w:lang w:val="en-US"/>
              </w:rPr>
              <w:t>单包最高</w:t>
            </w:r>
          </w:p>
          <w:p w14:paraId="5719C5D1">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sz w:val="21"/>
                <w:szCs w:val="21"/>
                <w:highlight w:val="none"/>
                <w:lang w:val="en-US"/>
              </w:rPr>
              <w:t>限价（元）</w:t>
            </w:r>
          </w:p>
        </w:tc>
        <w:tc>
          <w:tcPr>
            <w:tcW w:w="1302" w:type="dxa"/>
            <w:noWrap w:val="0"/>
            <w:vAlign w:val="center"/>
          </w:tcPr>
          <w:p w14:paraId="2097040A">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14:paraId="0468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4677B9F7">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color w:val="auto"/>
                <w:sz w:val="21"/>
                <w:szCs w:val="21"/>
                <w:highlight w:val="none"/>
                <w:u w:val="none"/>
              </w:rPr>
              <w:t>1包</w:t>
            </w:r>
          </w:p>
        </w:tc>
        <w:tc>
          <w:tcPr>
            <w:tcW w:w="687" w:type="dxa"/>
            <w:noWrap/>
            <w:vAlign w:val="center"/>
          </w:tcPr>
          <w:p w14:paraId="3F19F5E0">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noWrap w:val="0"/>
            <w:vAlign w:val="center"/>
          </w:tcPr>
          <w:p w14:paraId="1785E44A">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全自动核酸提取仪</w:t>
            </w:r>
          </w:p>
        </w:tc>
        <w:tc>
          <w:tcPr>
            <w:tcW w:w="362" w:type="dxa"/>
            <w:noWrap/>
            <w:vAlign w:val="center"/>
          </w:tcPr>
          <w:p w14:paraId="5CB2D433">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台</w:t>
            </w:r>
          </w:p>
        </w:tc>
        <w:tc>
          <w:tcPr>
            <w:tcW w:w="475" w:type="dxa"/>
            <w:noWrap w:val="0"/>
            <w:vAlign w:val="center"/>
          </w:tcPr>
          <w:p w14:paraId="50506E40">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noWrap/>
            <w:vAlign w:val="center"/>
          </w:tcPr>
          <w:p w14:paraId="79AA6ADF">
            <w:pPr>
              <w:keepNext w:val="0"/>
              <w:keepLines w:val="0"/>
              <w:widowControl/>
              <w:suppressLineNumbers w:val="0"/>
              <w:jc w:val="center"/>
              <w:textAlignment w:val="center"/>
              <w:rPr>
                <w:rFonts w:hint="default" w:ascii="仿宋" w:hAnsi="仿宋" w:eastAsia="仿宋" w:cs="仿宋"/>
                <w:i w:val="0"/>
                <w:iCs w:val="0"/>
                <w:color w:val="auto"/>
                <w:kern w:val="0"/>
                <w:sz w:val="21"/>
                <w:szCs w:val="21"/>
                <w:u w:val="none"/>
                <w:lang w:val="en-US" w:eastAsia="zh-CN" w:bidi="ar"/>
              </w:rPr>
            </w:pPr>
            <w:r>
              <w:rPr>
                <w:rFonts w:hint="default" w:ascii="仿宋" w:hAnsi="仿宋" w:eastAsia="仿宋" w:cs="仿宋"/>
                <w:i w:val="0"/>
                <w:iCs w:val="0"/>
                <w:color w:val="auto"/>
                <w:kern w:val="0"/>
                <w:sz w:val="21"/>
                <w:szCs w:val="21"/>
                <w:u w:val="none"/>
                <w:lang w:val="en-US" w:eastAsia="zh-CN" w:bidi="ar"/>
              </w:rPr>
              <w:t>250000.00</w:t>
            </w:r>
          </w:p>
        </w:tc>
        <w:tc>
          <w:tcPr>
            <w:tcW w:w="1424" w:type="dxa"/>
            <w:noWrap/>
            <w:vAlign w:val="center"/>
          </w:tcPr>
          <w:p w14:paraId="0165A087">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250000.00</w:t>
            </w:r>
          </w:p>
        </w:tc>
        <w:tc>
          <w:tcPr>
            <w:tcW w:w="1302" w:type="dxa"/>
            <w:noWrap/>
            <w:vAlign w:val="center"/>
          </w:tcPr>
          <w:p w14:paraId="12B94469">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62ED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035868EF">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2包</w:t>
            </w:r>
          </w:p>
        </w:tc>
        <w:tc>
          <w:tcPr>
            <w:tcW w:w="687" w:type="dxa"/>
            <w:noWrap/>
            <w:vAlign w:val="center"/>
          </w:tcPr>
          <w:p w14:paraId="247B2715">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66580FB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全自动医用PCR分析系统</w:t>
            </w:r>
          </w:p>
        </w:tc>
        <w:tc>
          <w:tcPr>
            <w:tcW w:w="362" w:type="dxa"/>
            <w:shd w:val="clear" w:color="auto" w:fill="auto"/>
            <w:noWrap/>
            <w:vAlign w:val="center"/>
          </w:tcPr>
          <w:p w14:paraId="4CF7E0F6">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台</w:t>
            </w:r>
          </w:p>
        </w:tc>
        <w:tc>
          <w:tcPr>
            <w:tcW w:w="475" w:type="dxa"/>
            <w:shd w:val="clear" w:color="auto" w:fill="auto"/>
            <w:noWrap w:val="0"/>
            <w:vAlign w:val="center"/>
          </w:tcPr>
          <w:p w14:paraId="0F7FD7C9">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9</w:t>
            </w:r>
          </w:p>
        </w:tc>
        <w:tc>
          <w:tcPr>
            <w:tcW w:w="1300" w:type="dxa"/>
            <w:shd w:val="clear" w:color="auto" w:fill="auto"/>
            <w:noWrap/>
            <w:vAlign w:val="center"/>
          </w:tcPr>
          <w:p w14:paraId="33D8B23D">
            <w:pPr>
              <w:keepNext w:val="0"/>
              <w:keepLines w:val="0"/>
              <w:widowControl/>
              <w:suppressLineNumbers w:val="0"/>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150000.00</w:t>
            </w:r>
          </w:p>
        </w:tc>
        <w:tc>
          <w:tcPr>
            <w:tcW w:w="1424" w:type="dxa"/>
            <w:shd w:val="clear" w:color="auto" w:fill="auto"/>
            <w:noWrap/>
            <w:vAlign w:val="center"/>
          </w:tcPr>
          <w:p w14:paraId="410E6AB7">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1350000.00</w:t>
            </w:r>
          </w:p>
        </w:tc>
        <w:tc>
          <w:tcPr>
            <w:tcW w:w="1302" w:type="dxa"/>
            <w:shd w:val="clear" w:color="auto" w:fill="auto"/>
            <w:noWrap/>
            <w:vAlign w:val="center"/>
          </w:tcPr>
          <w:p w14:paraId="22D7FB36">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02CB4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297041A2">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3包</w:t>
            </w:r>
          </w:p>
        </w:tc>
        <w:tc>
          <w:tcPr>
            <w:tcW w:w="687" w:type="dxa"/>
            <w:noWrap/>
            <w:vAlign w:val="center"/>
          </w:tcPr>
          <w:p w14:paraId="5FB4BCCF">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3E52A109">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全自动血液分析流水线</w:t>
            </w:r>
          </w:p>
        </w:tc>
        <w:tc>
          <w:tcPr>
            <w:tcW w:w="362" w:type="dxa"/>
            <w:shd w:val="clear" w:color="auto" w:fill="auto"/>
            <w:noWrap/>
            <w:vAlign w:val="center"/>
          </w:tcPr>
          <w:p w14:paraId="33851498">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套</w:t>
            </w:r>
          </w:p>
        </w:tc>
        <w:tc>
          <w:tcPr>
            <w:tcW w:w="475" w:type="dxa"/>
            <w:shd w:val="clear" w:color="auto" w:fill="auto"/>
            <w:noWrap w:val="0"/>
            <w:vAlign w:val="center"/>
          </w:tcPr>
          <w:p w14:paraId="438A02D6">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shd w:val="clear" w:color="auto" w:fill="auto"/>
            <w:noWrap/>
            <w:vAlign w:val="center"/>
          </w:tcPr>
          <w:p w14:paraId="10BD6265">
            <w:pPr>
              <w:keepNext w:val="0"/>
              <w:keepLines w:val="0"/>
              <w:widowControl/>
              <w:suppressLineNumbers w:val="0"/>
              <w:jc w:val="center"/>
              <w:textAlignment w:val="center"/>
              <w:rPr>
                <w:rFonts w:hint="default" w:ascii="仿宋" w:hAnsi="仿宋" w:eastAsia="仿宋" w:cs="仿宋"/>
                <w:i w:val="0"/>
                <w:iCs w:val="0"/>
                <w:color w:val="auto"/>
                <w:kern w:val="0"/>
                <w:sz w:val="21"/>
                <w:szCs w:val="21"/>
                <w:u w:val="none"/>
                <w:lang w:val="en-US" w:eastAsia="zh-CN" w:bidi="ar"/>
              </w:rPr>
            </w:pPr>
            <w:r>
              <w:rPr>
                <w:rFonts w:hint="default" w:ascii="仿宋" w:hAnsi="仿宋" w:eastAsia="仿宋" w:cs="仿宋"/>
                <w:i w:val="0"/>
                <w:iCs w:val="0"/>
                <w:color w:val="auto"/>
                <w:kern w:val="0"/>
                <w:sz w:val="21"/>
                <w:szCs w:val="21"/>
                <w:u w:val="none"/>
                <w:lang w:val="en-US" w:eastAsia="zh-CN" w:bidi="ar"/>
              </w:rPr>
              <w:t>990000.00</w:t>
            </w:r>
          </w:p>
        </w:tc>
        <w:tc>
          <w:tcPr>
            <w:tcW w:w="1424" w:type="dxa"/>
            <w:shd w:val="clear" w:color="auto" w:fill="auto"/>
            <w:noWrap/>
            <w:vAlign w:val="center"/>
          </w:tcPr>
          <w:p w14:paraId="78522259">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990000.00</w:t>
            </w:r>
          </w:p>
        </w:tc>
        <w:tc>
          <w:tcPr>
            <w:tcW w:w="1302" w:type="dxa"/>
            <w:shd w:val="clear" w:color="auto" w:fill="auto"/>
            <w:noWrap/>
            <w:vAlign w:val="center"/>
          </w:tcPr>
          <w:p w14:paraId="08B37F99">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6A94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689" w:type="dxa"/>
            <w:tcBorders>
              <w:bottom w:val="single" w:color="000000" w:sz="4" w:space="0"/>
            </w:tcBorders>
            <w:noWrap w:val="0"/>
            <w:vAlign w:val="center"/>
          </w:tcPr>
          <w:p w14:paraId="0977E71D">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4包</w:t>
            </w:r>
          </w:p>
        </w:tc>
        <w:tc>
          <w:tcPr>
            <w:tcW w:w="687" w:type="dxa"/>
            <w:tcBorders>
              <w:bottom w:val="single" w:color="000000" w:sz="4" w:space="0"/>
            </w:tcBorders>
            <w:noWrap/>
            <w:vAlign w:val="center"/>
          </w:tcPr>
          <w:p w14:paraId="17A912EF">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tcBorders>
              <w:bottom w:val="single" w:color="000000" w:sz="4" w:space="0"/>
            </w:tcBorders>
            <w:shd w:val="clear" w:color="auto" w:fill="auto"/>
            <w:noWrap w:val="0"/>
            <w:vAlign w:val="center"/>
          </w:tcPr>
          <w:p w14:paraId="797D8C76">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全自动医用PCR分析系统2</w:t>
            </w:r>
          </w:p>
        </w:tc>
        <w:tc>
          <w:tcPr>
            <w:tcW w:w="362" w:type="dxa"/>
            <w:tcBorders>
              <w:bottom w:val="single" w:color="000000" w:sz="4" w:space="0"/>
            </w:tcBorders>
            <w:shd w:val="clear" w:color="auto" w:fill="auto"/>
            <w:noWrap/>
            <w:vAlign w:val="center"/>
          </w:tcPr>
          <w:p w14:paraId="52B0EEDC">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台</w:t>
            </w:r>
          </w:p>
        </w:tc>
        <w:tc>
          <w:tcPr>
            <w:tcW w:w="475" w:type="dxa"/>
            <w:tcBorders>
              <w:bottom w:val="single" w:color="000000" w:sz="4" w:space="0"/>
            </w:tcBorders>
            <w:shd w:val="clear" w:color="auto" w:fill="auto"/>
            <w:noWrap w:val="0"/>
            <w:vAlign w:val="center"/>
          </w:tcPr>
          <w:p w14:paraId="490BCBA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2</w:t>
            </w:r>
          </w:p>
        </w:tc>
        <w:tc>
          <w:tcPr>
            <w:tcW w:w="1300" w:type="dxa"/>
            <w:tcBorders>
              <w:bottom w:val="single" w:color="000000" w:sz="4" w:space="0"/>
            </w:tcBorders>
            <w:shd w:val="clear" w:color="auto" w:fill="auto"/>
            <w:noWrap/>
            <w:vAlign w:val="center"/>
          </w:tcPr>
          <w:p w14:paraId="32D1F183">
            <w:pPr>
              <w:keepNext w:val="0"/>
              <w:keepLines w:val="0"/>
              <w:widowControl/>
              <w:suppressLineNumbers w:val="0"/>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50000.00</w:t>
            </w:r>
          </w:p>
        </w:tc>
        <w:tc>
          <w:tcPr>
            <w:tcW w:w="1424" w:type="dxa"/>
            <w:tcBorders>
              <w:bottom w:val="single" w:color="000000" w:sz="4" w:space="0"/>
            </w:tcBorders>
            <w:shd w:val="clear" w:color="auto" w:fill="auto"/>
            <w:noWrap/>
            <w:vAlign w:val="center"/>
          </w:tcPr>
          <w:p w14:paraId="44D121B3">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100000.00</w:t>
            </w:r>
          </w:p>
        </w:tc>
        <w:tc>
          <w:tcPr>
            <w:tcW w:w="1302" w:type="dxa"/>
            <w:tcBorders>
              <w:bottom w:val="single" w:color="000000" w:sz="4" w:space="0"/>
            </w:tcBorders>
            <w:shd w:val="clear" w:color="auto" w:fill="auto"/>
            <w:noWrap/>
            <w:vAlign w:val="center"/>
          </w:tcPr>
          <w:p w14:paraId="2AD5A505">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75E2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89" w:type="dxa"/>
            <w:tcBorders>
              <w:top w:val="single" w:color="000000" w:sz="4" w:space="0"/>
            </w:tcBorders>
            <w:noWrap w:val="0"/>
            <w:vAlign w:val="center"/>
          </w:tcPr>
          <w:p w14:paraId="57237A3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5包</w:t>
            </w:r>
          </w:p>
        </w:tc>
        <w:tc>
          <w:tcPr>
            <w:tcW w:w="687" w:type="dxa"/>
            <w:tcBorders>
              <w:top w:val="single" w:color="000000" w:sz="4" w:space="0"/>
            </w:tcBorders>
            <w:noWrap/>
            <w:vAlign w:val="center"/>
          </w:tcPr>
          <w:p w14:paraId="14CDAA60">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tcBorders>
              <w:top w:val="single" w:color="000000" w:sz="4" w:space="0"/>
            </w:tcBorders>
            <w:shd w:val="clear" w:color="auto" w:fill="auto"/>
            <w:noWrap w:val="0"/>
            <w:vAlign w:val="center"/>
          </w:tcPr>
          <w:p w14:paraId="2A22E48A">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分枝杆菌培养鉴定药敏系统</w:t>
            </w:r>
          </w:p>
        </w:tc>
        <w:tc>
          <w:tcPr>
            <w:tcW w:w="362" w:type="dxa"/>
            <w:tcBorders>
              <w:top w:val="single" w:color="000000" w:sz="4" w:space="0"/>
            </w:tcBorders>
            <w:shd w:val="clear" w:color="auto" w:fill="auto"/>
            <w:noWrap/>
            <w:vAlign w:val="center"/>
          </w:tcPr>
          <w:p w14:paraId="77E1E439">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台</w:t>
            </w:r>
          </w:p>
        </w:tc>
        <w:tc>
          <w:tcPr>
            <w:tcW w:w="475" w:type="dxa"/>
            <w:tcBorders>
              <w:top w:val="single" w:color="000000" w:sz="4" w:space="0"/>
            </w:tcBorders>
            <w:shd w:val="clear" w:color="auto" w:fill="auto"/>
            <w:noWrap w:val="0"/>
            <w:vAlign w:val="center"/>
          </w:tcPr>
          <w:p w14:paraId="74ED90D7">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tcBorders>
              <w:top w:val="single" w:color="000000" w:sz="4" w:space="0"/>
            </w:tcBorders>
            <w:shd w:val="clear" w:color="auto" w:fill="auto"/>
            <w:noWrap/>
            <w:vAlign w:val="center"/>
          </w:tcPr>
          <w:p w14:paraId="3E4115E9">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790000.00</w:t>
            </w:r>
          </w:p>
        </w:tc>
        <w:tc>
          <w:tcPr>
            <w:tcW w:w="1424" w:type="dxa"/>
            <w:tcBorders>
              <w:top w:val="single" w:color="000000" w:sz="4" w:space="0"/>
            </w:tcBorders>
            <w:shd w:val="clear" w:color="auto" w:fill="auto"/>
            <w:noWrap/>
            <w:vAlign w:val="center"/>
          </w:tcPr>
          <w:p w14:paraId="4AE4B212">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790000.00</w:t>
            </w:r>
          </w:p>
        </w:tc>
        <w:tc>
          <w:tcPr>
            <w:tcW w:w="1302" w:type="dxa"/>
            <w:tcBorders>
              <w:top w:val="single" w:color="000000" w:sz="4" w:space="0"/>
            </w:tcBorders>
            <w:shd w:val="clear" w:color="auto" w:fill="auto"/>
            <w:noWrap/>
            <w:vAlign w:val="center"/>
          </w:tcPr>
          <w:p w14:paraId="34581B31">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允许采购进口产品</w:t>
            </w:r>
          </w:p>
        </w:tc>
      </w:tr>
      <w:tr w14:paraId="58D9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105322BF">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6包</w:t>
            </w:r>
          </w:p>
        </w:tc>
        <w:tc>
          <w:tcPr>
            <w:tcW w:w="687" w:type="dxa"/>
            <w:noWrap/>
            <w:vAlign w:val="center"/>
          </w:tcPr>
          <w:p w14:paraId="5DDC6C71">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3B835AF8">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全自动酶免分析仪</w:t>
            </w:r>
          </w:p>
        </w:tc>
        <w:tc>
          <w:tcPr>
            <w:tcW w:w="362" w:type="dxa"/>
            <w:shd w:val="clear" w:color="auto" w:fill="auto"/>
            <w:noWrap/>
            <w:vAlign w:val="center"/>
          </w:tcPr>
          <w:p w14:paraId="70DB9559">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台</w:t>
            </w:r>
          </w:p>
        </w:tc>
        <w:tc>
          <w:tcPr>
            <w:tcW w:w="475" w:type="dxa"/>
            <w:shd w:val="clear" w:color="auto" w:fill="auto"/>
            <w:noWrap w:val="0"/>
            <w:vAlign w:val="center"/>
          </w:tcPr>
          <w:p w14:paraId="3580058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shd w:val="clear" w:color="auto" w:fill="auto"/>
            <w:noWrap/>
            <w:vAlign w:val="center"/>
          </w:tcPr>
          <w:p w14:paraId="2605AD78">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960000.00</w:t>
            </w:r>
          </w:p>
        </w:tc>
        <w:tc>
          <w:tcPr>
            <w:tcW w:w="1424" w:type="dxa"/>
            <w:shd w:val="clear" w:color="auto" w:fill="auto"/>
            <w:noWrap/>
            <w:vAlign w:val="center"/>
          </w:tcPr>
          <w:p w14:paraId="24C1F438">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960000.00</w:t>
            </w:r>
          </w:p>
        </w:tc>
        <w:tc>
          <w:tcPr>
            <w:tcW w:w="1302" w:type="dxa"/>
            <w:shd w:val="clear" w:color="auto" w:fill="auto"/>
            <w:noWrap/>
            <w:vAlign w:val="center"/>
          </w:tcPr>
          <w:p w14:paraId="09D59CDF">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782A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689" w:type="dxa"/>
            <w:noWrap w:val="0"/>
            <w:vAlign w:val="center"/>
          </w:tcPr>
          <w:p w14:paraId="18B287E4">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7包</w:t>
            </w:r>
          </w:p>
        </w:tc>
        <w:tc>
          <w:tcPr>
            <w:tcW w:w="687" w:type="dxa"/>
            <w:noWrap/>
            <w:vAlign w:val="center"/>
          </w:tcPr>
          <w:p w14:paraId="10656EEA">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797DACD6">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全自动血液分析流水线2</w:t>
            </w:r>
          </w:p>
        </w:tc>
        <w:tc>
          <w:tcPr>
            <w:tcW w:w="362" w:type="dxa"/>
            <w:shd w:val="clear" w:color="auto" w:fill="auto"/>
            <w:noWrap/>
            <w:vAlign w:val="center"/>
          </w:tcPr>
          <w:p w14:paraId="2B9A207F">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套</w:t>
            </w:r>
          </w:p>
        </w:tc>
        <w:tc>
          <w:tcPr>
            <w:tcW w:w="475" w:type="dxa"/>
            <w:shd w:val="clear" w:color="auto" w:fill="auto"/>
            <w:noWrap w:val="0"/>
            <w:vAlign w:val="center"/>
          </w:tcPr>
          <w:p w14:paraId="43C8C69A">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shd w:val="clear" w:color="auto" w:fill="auto"/>
            <w:noWrap/>
            <w:vAlign w:val="center"/>
          </w:tcPr>
          <w:p w14:paraId="3789A021">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380000.00</w:t>
            </w:r>
          </w:p>
        </w:tc>
        <w:tc>
          <w:tcPr>
            <w:tcW w:w="1424" w:type="dxa"/>
            <w:shd w:val="clear" w:color="auto" w:fill="auto"/>
            <w:noWrap/>
            <w:vAlign w:val="center"/>
          </w:tcPr>
          <w:p w14:paraId="5C23576E">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380000.00</w:t>
            </w:r>
          </w:p>
        </w:tc>
        <w:tc>
          <w:tcPr>
            <w:tcW w:w="1302" w:type="dxa"/>
            <w:shd w:val="clear" w:color="auto" w:fill="auto"/>
            <w:noWrap/>
            <w:vAlign w:val="center"/>
          </w:tcPr>
          <w:p w14:paraId="168C70BB">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3F01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71CBD9CC">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8包</w:t>
            </w:r>
          </w:p>
        </w:tc>
        <w:tc>
          <w:tcPr>
            <w:tcW w:w="687" w:type="dxa"/>
            <w:noWrap/>
            <w:vAlign w:val="center"/>
          </w:tcPr>
          <w:p w14:paraId="55F03CFA">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2119DC6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全自动微生物质谱检测系统</w:t>
            </w:r>
          </w:p>
        </w:tc>
        <w:tc>
          <w:tcPr>
            <w:tcW w:w="362" w:type="dxa"/>
            <w:shd w:val="clear" w:color="auto" w:fill="auto"/>
            <w:noWrap/>
            <w:vAlign w:val="center"/>
          </w:tcPr>
          <w:p w14:paraId="5D62741C">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台</w:t>
            </w:r>
          </w:p>
        </w:tc>
        <w:tc>
          <w:tcPr>
            <w:tcW w:w="475" w:type="dxa"/>
            <w:shd w:val="clear" w:color="auto" w:fill="auto"/>
            <w:noWrap w:val="0"/>
            <w:vAlign w:val="center"/>
          </w:tcPr>
          <w:p w14:paraId="1755EA8D">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shd w:val="clear" w:color="auto" w:fill="auto"/>
            <w:noWrap/>
            <w:vAlign w:val="center"/>
          </w:tcPr>
          <w:p w14:paraId="519B01D0">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1180000.00</w:t>
            </w:r>
          </w:p>
        </w:tc>
        <w:tc>
          <w:tcPr>
            <w:tcW w:w="1424" w:type="dxa"/>
            <w:shd w:val="clear" w:color="auto" w:fill="auto"/>
            <w:noWrap/>
            <w:vAlign w:val="center"/>
          </w:tcPr>
          <w:p w14:paraId="19768495">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1180000.00</w:t>
            </w:r>
          </w:p>
        </w:tc>
        <w:tc>
          <w:tcPr>
            <w:tcW w:w="1302" w:type="dxa"/>
            <w:shd w:val="clear" w:color="auto" w:fill="auto"/>
            <w:noWrap/>
            <w:vAlign w:val="center"/>
          </w:tcPr>
          <w:p w14:paraId="10D40BE9">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1705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26E80EBE">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9包</w:t>
            </w:r>
          </w:p>
        </w:tc>
        <w:tc>
          <w:tcPr>
            <w:tcW w:w="687" w:type="dxa"/>
            <w:noWrap/>
            <w:vAlign w:val="center"/>
          </w:tcPr>
          <w:p w14:paraId="0269D0B1">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20D96FC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全自动生化分析仪</w:t>
            </w:r>
          </w:p>
        </w:tc>
        <w:tc>
          <w:tcPr>
            <w:tcW w:w="362" w:type="dxa"/>
            <w:shd w:val="clear" w:color="auto" w:fill="auto"/>
            <w:noWrap/>
            <w:vAlign w:val="center"/>
          </w:tcPr>
          <w:p w14:paraId="02A243F9">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套</w:t>
            </w:r>
          </w:p>
        </w:tc>
        <w:tc>
          <w:tcPr>
            <w:tcW w:w="475" w:type="dxa"/>
            <w:shd w:val="clear" w:color="auto" w:fill="auto"/>
            <w:noWrap w:val="0"/>
            <w:vAlign w:val="center"/>
          </w:tcPr>
          <w:p w14:paraId="5215D6E0">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shd w:val="clear" w:color="auto" w:fill="auto"/>
            <w:noWrap/>
            <w:vAlign w:val="center"/>
          </w:tcPr>
          <w:p w14:paraId="602A7A8B">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700000.00</w:t>
            </w:r>
          </w:p>
        </w:tc>
        <w:tc>
          <w:tcPr>
            <w:tcW w:w="1424" w:type="dxa"/>
            <w:shd w:val="clear" w:color="auto" w:fill="auto"/>
            <w:noWrap/>
            <w:vAlign w:val="center"/>
          </w:tcPr>
          <w:p w14:paraId="672D985E">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700000.00</w:t>
            </w:r>
          </w:p>
        </w:tc>
        <w:tc>
          <w:tcPr>
            <w:tcW w:w="1302" w:type="dxa"/>
            <w:shd w:val="clear" w:color="auto" w:fill="auto"/>
            <w:noWrap/>
            <w:vAlign w:val="center"/>
          </w:tcPr>
          <w:p w14:paraId="39C7F59D">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1061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26C8AAA2">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10包</w:t>
            </w:r>
          </w:p>
        </w:tc>
        <w:tc>
          <w:tcPr>
            <w:tcW w:w="687" w:type="dxa"/>
            <w:noWrap/>
            <w:vAlign w:val="center"/>
          </w:tcPr>
          <w:p w14:paraId="081512D6">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2E353D3F">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染色体智能分析系统</w:t>
            </w:r>
          </w:p>
        </w:tc>
        <w:tc>
          <w:tcPr>
            <w:tcW w:w="362" w:type="dxa"/>
            <w:shd w:val="clear" w:color="auto" w:fill="auto"/>
            <w:noWrap/>
            <w:vAlign w:val="center"/>
          </w:tcPr>
          <w:p w14:paraId="0B40E385">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套</w:t>
            </w:r>
          </w:p>
        </w:tc>
        <w:tc>
          <w:tcPr>
            <w:tcW w:w="475" w:type="dxa"/>
            <w:shd w:val="clear" w:color="auto" w:fill="auto"/>
            <w:noWrap w:val="0"/>
            <w:vAlign w:val="center"/>
          </w:tcPr>
          <w:p w14:paraId="2EEF8081">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shd w:val="clear" w:color="auto" w:fill="auto"/>
            <w:noWrap/>
            <w:vAlign w:val="center"/>
          </w:tcPr>
          <w:p w14:paraId="6C3B143B">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630000.00</w:t>
            </w:r>
          </w:p>
        </w:tc>
        <w:tc>
          <w:tcPr>
            <w:tcW w:w="1424" w:type="dxa"/>
            <w:shd w:val="clear" w:color="auto" w:fill="auto"/>
            <w:noWrap/>
            <w:vAlign w:val="center"/>
          </w:tcPr>
          <w:p w14:paraId="0038C935">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630000.00</w:t>
            </w:r>
          </w:p>
        </w:tc>
        <w:tc>
          <w:tcPr>
            <w:tcW w:w="1302" w:type="dxa"/>
            <w:shd w:val="clear" w:color="auto" w:fill="auto"/>
            <w:noWrap/>
            <w:vAlign w:val="center"/>
          </w:tcPr>
          <w:p w14:paraId="73B76A14">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p>
        </w:tc>
      </w:tr>
      <w:tr w14:paraId="71BC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noWrap w:val="0"/>
            <w:vAlign w:val="center"/>
          </w:tcPr>
          <w:p w14:paraId="15129470">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11包</w:t>
            </w:r>
          </w:p>
        </w:tc>
        <w:tc>
          <w:tcPr>
            <w:tcW w:w="687" w:type="dxa"/>
            <w:noWrap/>
            <w:vAlign w:val="center"/>
          </w:tcPr>
          <w:p w14:paraId="317FC120">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738" w:type="dxa"/>
            <w:shd w:val="clear" w:color="auto" w:fill="auto"/>
            <w:noWrap w:val="0"/>
            <w:vAlign w:val="center"/>
          </w:tcPr>
          <w:p w14:paraId="160C7A01">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倒置荧光显微镜</w:t>
            </w:r>
          </w:p>
        </w:tc>
        <w:tc>
          <w:tcPr>
            <w:tcW w:w="362" w:type="dxa"/>
            <w:shd w:val="clear" w:color="auto" w:fill="auto"/>
            <w:noWrap/>
            <w:vAlign w:val="center"/>
          </w:tcPr>
          <w:p w14:paraId="3F7CF68D">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套</w:t>
            </w:r>
          </w:p>
        </w:tc>
        <w:tc>
          <w:tcPr>
            <w:tcW w:w="475" w:type="dxa"/>
            <w:shd w:val="clear" w:color="auto" w:fill="auto"/>
            <w:noWrap w:val="0"/>
            <w:vAlign w:val="center"/>
          </w:tcPr>
          <w:p w14:paraId="5717ADB7">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1</w:t>
            </w:r>
          </w:p>
        </w:tc>
        <w:tc>
          <w:tcPr>
            <w:tcW w:w="1300" w:type="dxa"/>
            <w:shd w:val="clear" w:color="auto" w:fill="auto"/>
            <w:noWrap/>
            <w:vAlign w:val="center"/>
          </w:tcPr>
          <w:p w14:paraId="0A8EDA6D">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500000.00</w:t>
            </w:r>
          </w:p>
        </w:tc>
        <w:tc>
          <w:tcPr>
            <w:tcW w:w="1424" w:type="dxa"/>
            <w:shd w:val="clear" w:color="auto" w:fill="auto"/>
            <w:noWrap/>
            <w:vAlign w:val="center"/>
          </w:tcPr>
          <w:p w14:paraId="5190D90B">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500000.00</w:t>
            </w:r>
          </w:p>
        </w:tc>
        <w:tc>
          <w:tcPr>
            <w:tcW w:w="1302" w:type="dxa"/>
            <w:shd w:val="clear" w:color="auto" w:fill="auto"/>
            <w:noWrap/>
            <w:vAlign w:val="center"/>
          </w:tcPr>
          <w:p w14:paraId="7F8937EA">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允许采购进口产品</w:t>
            </w:r>
          </w:p>
        </w:tc>
      </w:tr>
    </w:tbl>
    <w:p w14:paraId="50C98CAD">
      <w:pPr>
        <w:snapToGrid w:val="0"/>
        <w:spacing w:line="240" w:lineRule="auto"/>
        <w:ind w:left="632" w:hanging="602" w:hangingChars="300"/>
        <w:rPr>
          <w:rFonts w:hint="eastAsia" w:ascii="仿宋" w:hAnsi="仿宋" w:eastAsia="仿宋" w:cs="仿宋"/>
          <w:b/>
          <w:bCs/>
          <w:color w:val="auto"/>
          <w:sz w:val="20"/>
          <w:szCs w:val="20"/>
          <w:highlight w:val="none"/>
        </w:rPr>
      </w:pPr>
    </w:p>
    <w:p w14:paraId="191136F9">
      <w:pPr>
        <w:snapToGrid w:val="0"/>
        <w:spacing w:line="240" w:lineRule="auto"/>
        <w:ind w:left="632" w:hanging="602" w:hangingChars="300"/>
        <w:rPr>
          <w:rFonts w:hint="default"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注：</w:t>
      </w:r>
      <w:r>
        <w:rPr>
          <w:rFonts w:hint="eastAsia" w:ascii="仿宋" w:hAnsi="仿宋" w:eastAsia="仿宋" w:cs="仿宋"/>
          <w:b/>
          <w:bCs/>
          <w:color w:val="auto"/>
          <w:sz w:val="20"/>
          <w:szCs w:val="20"/>
          <w:highlight w:val="none"/>
          <w:lang w:val="en-US" w:eastAsia="zh-CN"/>
        </w:rPr>
        <w:t>1.此报价包含货物、包装、运输、装卸（卸货至采购人指定位置）、税金等完成该项目的所有费用。</w:t>
      </w:r>
    </w:p>
    <w:p w14:paraId="2B393ECD">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 xml:space="preserve">2.如所供货物为医疗器械的,医疗产品注册证上的名称与采购标的名称不一致的,需在《开   </w:t>
      </w:r>
    </w:p>
    <w:p w14:paraId="7C3A19C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标一览表》的“备注”中明确,验收以医疗器械注册证上的产品名称为准。</w:t>
      </w:r>
    </w:p>
    <w:p w14:paraId="2467178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3.本项目采购标的所属行业为工业。</w:t>
      </w:r>
    </w:p>
    <w:p w14:paraId="0768A67E">
      <w:pPr>
        <w:snapToGrid w:val="0"/>
        <w:spacing w:line="360" w:lineRule="auto"/>
        <w:textAlignment w:val="baseline"/>
        <w:rPr>
          <w:rFonts w:hint="eastAsia" w:ascii="仿宋" w:hAnsi="仿宋" w:eastAsia="仿宋" w:cs="仿宋"/>
          <w:b/>
          <w:color w:val="auto"/>
          <w:sz w:val="28"/>
          <w:szCs w:val="28"/>
          <w:highlight w:val="none"/>
          <w:lang w:val="en-US"/>
        </w:rPr>
      </w:pPr>
    </w:p>
    <w:p w14:paraId="384E6708">
      <w:pPr>
        <w:snapToGrid w:val="0"/>
        <w:spacing w:line="360" w:lineRule="auto"/>
        <w:ind w:left="525" w:hanging="527"/>
        <w:textAlignment w:val="baseline"/>
        <w:rPr>
          <w:rFonts w:hint="eastAsia" w:ascii="仿宋" w:hAnsi="仿宋" w:eastAsia="仿宋" w:cs="仿宋"/>
          <w:b/>
          <w:color w:val="auto"/>
          <w:sz w:val="28"/>
          <w:szCs w:val="28"/>
          <w:highlight w:val="none"/>
          <w:lang w:val="en-US"/>
        </w:rPr>
      </w:pPr>
      <w:r>
        <w:rPr>
          <w:rFonts w:hint="eastAsia" w:ascii="仿宋" w:hAnsi="仿宋" w:eastAsia="仿宋" w:cs="仿宋"/>
          <w:b/>
          <w:color w:val="auto"/>
          <w:sz w:val="28"/>
          <w:szCs w:val="28"/>
          <w:highlight w:val="none"/>
          <w:lang w:val="en-US"/>
        </w:rPr>
        <w:t>二、技术要求</w:t>
      </w:r>
    </w:p>
    <w:p w14:paraId="1C4397A5">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1包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全自动核酸提取仪</w:t>
      </w:r>
    </w:p>
    <w:p w14:paraId="2932E40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一、主要技术参数</w:t>
      </w:r>
    </w:p>
    <w:p w14:paraId="575AA57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1.处理体积：20uL-1000uL</w:t>
      </w:r>
    </w:p>
    <w:p w14:paraId="7D1094D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★2.样品通量：1～96</w:t>
      </w:r>
    </w:p>
    <w:p w14:paraId="4B7B0F8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3.配套试剂磁珠回收效率：</w:t>
      </w:r>
      <w:r>
        <w:rPr>
          <w:rFonts w:hint="default" w:ascii="仿宋" w:hAnsi="仿宋" w:eastAsia="仿宋" w:cs="仿宋"/>
          <w:b w:val="0"/>
          <w:bCs w:val="0"/>
          <w:color w:val="auto"/>
          <w:kern w:val="2"/>
          <w:sz w:val="24"/>
          <w:szCs w:val="24"/>
          <w:lang w:val="en-US" w:eastAsia="zh-CN" w:bidi="ar-SA"/>
        </w:rPr>
        <w:tab/>
      </w:r>
      <w:r>
        <w:rPr>
          <w:rFonts w:hint="default" w:ascii="仿宋" w:hAnsi="仿宋" w:eastAsia="仿宋" w:cs="仿宋"/>
          <w:b w:val="0"/>
          <w:bCs w:val="0"/>
          <w:color w:val="auto"/>
          <w:kern w:val="2"/>
          <w:sz w:val="24"/>
          <w:szCs w:val="24"/>
          <w:lang w:val="en-US" w:eastAsia="zh-CN" w:bidi="ar-SA"/>
        </w:rPr>
        <w:t>≥98%</w:t>
      </w:r>
    </w:p>
    <w:p w14:paraId="41DCA20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4.加热温度：裂解加热温度：室温-120℃；洗脱加热温度：室温-120℃</w:t>
      </w:r>
    </w:p>
    <w:p w14:paraId="79C23B4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5.磁棒结构：采用整体式磁棒，表面多层镀层处理，不易被样本和试剂粘附、污染</w:t>
      </w:r>
    </w:p>
    <w:p w14:paraId="2DAA86D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6.磁棒模块、磁套模块结构：磁棒模块、磁套模块均采用独立丝杆结构，运动低噪声，低磨损， 保证仪器长时间运行。</w:t>
      </w:r>
    </w:p>
    <w:p w14:paraId="6205101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7.高斯强度：采用稀土磁原料，高斯强度高达5000及以上，保证磁吸效果。</w:t>
      </w:r>
    </w:p>
    <w:p w14:paraId="27B6DB7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8.混合模式：震荡混合，多模式多档速度可调（&gt;20 档）</w:t>
      </w:r>
    </w:p>
    <w:p w14:paraId="6340C99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▲9.试剂种类：磁珠法试剂，能提供1人份/板、8人份/板、16人份/板的核酸提取试剂。</w:t>
      </w:r>
    </w:p>
    <w:p w14:paraId="532286B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10.显示屏：</w:t>
      </w:r>
      <w:r>
        <w:rPr>
          <w:rFonts w:hint="eastAsia"/>
          <w:lang w:val="en-US" w:eastAsia="zh-CN"/>
        </w:rPr>
        <w:t>≥</w:t>
      </w:r>
      <w:r>
        <w:rPr>
          <w:rFonts w:hint="default" w:ascii="仿宋" w:hAnsi="仿宋" w:eastAsia="仿宋" w:cs="仿宋"/>
          <w:b w:val="0"/>
          <w:bCs w:val="0"/>
          <w:color w:val="auto"/>
          <w:kern w:val="2"/>
          <w:sz w:val="24"/>
          <w:szCs w:val="24"/>
          <w:lang w:val="en-US" w:eastAsia="zh-CN" w:bidi="ar-SA"/>
        </w:rPr>
        <w:t>10英寸全彩大屏幕显示</w:t>
      </w:r>
      <w:r>
        <w:rPr>
          <w:rFonts w:hint="eastAsia" w:ascii="仿宋" w:hAnsi="仿宋" w:eastAsia="仿宋" w:cs="仿宋"/>
          <w:b w:val="0"/>
          <w:bCs w:val="0"/>
          <w:color w:val="auto"/>
          <w:kern w:val="2"/>
          <w:sz w:val="24"/>
          <w:szCs w:val="24"/>
          <w:lang w:val="en-US" w:eastAsia="zh-CN" w:bidi="ar-SA"/>
        </w:rPr>
        <w:t>、</w:t>
      </w:r>
      <w:r>
        <w:rPr>
          <w:rFonts w:hint="default" w:ascii="仿宋" w:hAnsi="仿宋" w:eastAsia="仿宋" w:cs="仿宋"/>
          <w:b w:val="0"/>
          <w:bCs w:val="0"/>
          <w:color w:val="auto"/>
          <w:kern w:val="2"/>
          <w:sz w:val="24"/>
          <w:szCs w:val="24"/>
          <w:lang w:val="en-US" w:eastAsia="zh-CN" w:bidi="ar-SA"/>
        </w:rPr>
        <w:t>触控式操作。</w:t>
      </w:r>
    </w:p>
    <w:p w14:paraId="4BBCCBF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11.操作界面：中/英文操作系统，图形化彩色控制面板，实时显示温度和实验进程信息。</w:t>
      </w:r>
    </w:p>
    <w:p w14:paraId="1E775B6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12.内部程序：内建20组模式程序（可存储 &gt;100000组程序）</w:t>
      </w:r>
      <w:r>
        <w:rPr>
          <w:rFonts w:hint="eastAsia" w:ascii="仿宋" w:hAnsi="仿宋" w:eastAsia="仿宋" w:cs="仿宋"/>
          <w:b w:val="0"/>
          <w:bCs w:val="0"/>
          <w:color w:val="auto"/>
          <w:kern w:val="2"/>
          <w:sz w:val="24"/>
          <w:szCs w:val="24"/>
          <w:lang w:val="en-US" w:eastAsia="zh-CN" w:bidi="ar-SA"/>
        </w:rPr>
        <w:t>。</w:t>
      </w:r>
    </w:p>
    <w:p w14:paraId="4606A3C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13.程序管理：程序</w:t>
      </w:r>
      <w:r>
        <w:rPr>
          <w:rFonts w:hint="eastAsia" w:ascii="仿宋" w:hAnsi="仿宋" w:eastAsia="仿宋" w:cs="仿宋"/>
          <w:b w:val="0"/>
          <w:bCs w:val="0"/>
          <w:color w:val="auto"/>
          <w:kern w:val="2"/>
          <w:sz w:val="24"/>
          <w:szCs w:val="24"/>
          <w:lang w:val="en-US" w:eastAsia="zh-CN" w:bidi="ar-SA"/>
        </w:rPr>
        <w:t>具备</w:t>
      </w:r>
      <w:r>
        <w:rPr>
          <w:rFonts w:hint="default" w:ascii="仿宋" w:hAnsi="仿宋" w:eastAsia="仿宋" w:cs="仿宋"/>
          <w:b w:val="0"/>
          <w:bCs w:val="0"/>
          <w:color w:val="auto"/>
          <w:kern w:val="2"/>
          <w:sz w:val="24"/>
          <w:szCs w:val="24"/>
          <w:lang w:val="en-US" w:eastAsia="zh-CN" w:bidi="ar-SA"/>
        </w:rPr>
        <w:t>新建、编辑、删除模式，</w:t>
      </w:r>
      <w:r>
        <w:rPr>
          <w:rFonts w:hint="eastAsia" w:ascii="仿宋" w:hAnsi="仿宋" w:eastAsia="仿宋" w:cs="仿宋"/>
          <w:b w:val="0"/>
          <w:bCs w:val="0"/>
          <w:color w:val="auto"/>
          <w:kern w:val="2"/>
          <w:sz w:val="24"/>
          <w:szCs w:val="24"/>
          <w:lang w:val="en-US" w:eastAsia="zh-CN" w:bidi="ar-SA"/>
        </w:rPr>
        <w:t>可</w:t>
      </w:r>
      <w:r>
        <w:rPr>
          <w:rFonts w:hint="default" w:ascii="仿宋" w:hAnsi="仿宋" w:eastAsia="仿宋" w:cs="仿宋"/>
          <w:b w:val="0"/>
          <w:bCs w:val="0"/>
          <w:color w:val="auto"/>
          <w:kern w:val="2"/>
          <w:sz w:val="24"/>
          <w:szCs w:val="24"/>
          <w:lang w:val="en-US" w:eastAsia="zh-CN" w:bidi="ar-SA"/>
        </w:rPr>
        <w:t>自由灵活编辑提取程序</w:t>
      </w:r>
      <w:r>
        <w:rPr>
          <w:rFonts w:hint="eastAsia" w:ascii="仿宋" w:hAnsi="仿宋" w:eastAsia="仿宋" w:cs="仿宋"/>
          <w:b w:val="0"/>
          <w:bCs w:val="0"/>
          <w:color w:val="auto"/>
          <w:kern w:val="2"/>
          <w:sz w:val="24"/>
          <w:szCs w:val="24"/>
          <w:lang w:val="en-US" w:eastAsia="zh-CN" w:bidi="ar-SA"/>
        </w:rPr>
        <w:t>。</w:t>
      </w:r>
    </w:p>
    <w:p w14:paraId="1B3FC2D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★14.自我清洁：具有定时开关的紫外光杀菌功能及空气过滤系统，降低实验室污染概率</w:t>
      </w:r>
    </w:p>
    <w:p w14:paraId="2C5E3D5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15.污染控制：实验舱具备外排式 HEPA 过滤独立风路，其中的生物滤棉可吸附其中的核酸气溶胶。</w:t>
      </w:r>
    </w:p>
    <w:p w14:paraId="4B48979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16.语音提醒：智能语音提醒用户实验前正确放置耗材及实验后及时取走试剂盒</w:t>
      </w:r>
    </w:p>
    <w:p w14:paraId="52EA8DB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17.快速提取：操作时间短，通用模式：30～50 分钟/次，快提模式：&lt;15 分钟/次，每次可同时 提取 1～96 份样本，高纯度，高得率。</w:t>
      </w:r>
    </w:p>
    <w:p w14:paraId="5D7EB73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18.模块化设计：采用模块化结构</w:t>
      </w:r>
      <w:r>
        <w:rPr>
          <w:rFonts w:hint="eastAsia" w:ascii="仿宋" w:hAnsi="仿宋" w:eastAsia="仿宋" w:cs="仿宋"/>
          <w:b w:val="0"/>
          <w:bCs w:val="0"/>
          <w:color w:val="auto"/>
          <w:kern w:val="2"/>
          <w:sz w:val="24"/>
          <w:szCs w:val="24"/>
          <w:lang w:val="en-US" w:eastAsia="zh-CN" w:bidi="ar-SA"/>
        </w:rPr>
        <w:t>。</w:t>
      </w:r>
    </w:p>
    <w:p w14:paraId="0C13D5BD">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19</w:t>
      </w:r>
      <w:r>
        <w:rPr>
          <w:rFonts w:hint="default" w:ascii="仿宋" w:hAnsi="仿宋" w:eastAsia="仿宋" w:cs="仿宋"/>
          <w:b w:val="0"/>
          <w:bCs w:val="0"/>
          <w:color w:val="auto"/>
          <w:kern w:val="2"/>
          <w:sz w:val="24"/>
          <w:szCs w:val="24"/>
          <w:lang w:val="en-US" w:eastAsia="zh-CN" w:bidi="ar-SA"/>
        </w:rPr>
        <w:t>.自动检测功能：内置红外感应器，可检测提取试剂盒数量和放置位置，准确提示用户放置8联磁棒套，运行中仅启动加热有试剂盒的板位，节约能耗。</w:t>
      </w:r>
    </w:p>
    <w:p w14:paraId="2697185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en-US" w:eastAsia="zh-CN" w:bidi="ar-SA"/>
        </w:rPr>
        <w:t>0</w:t>
      </w:r>
      <w:r>
        <w:rPr>
          <w:rFonts w:hint="default" w:ascii="仿宋" w:hAnsi="仿宋" w:eastAsia="仿宋" w:cs="仿宋"/>
          <w:b w:val="0"/>
          <w:bCs w:val="0"/>
          <w:color w:val="auto"/>
          <w:kern w:val="2"/>
          <w:sz w:val="24"/>
          <w:szCs w:val="24"/>
          <w:lang w:val="en-US" w:eastAsia="zh-CN" w:bidi="ar-SA"/>
        </w:rPr>
        <w:t>.操作方式（兼备两种模式）：</w:t>
      </w:r>
      <w:r>
        <w:rPr>
          <w:rFonts w:hint="default" w:ascii="仿宋" w:hAnsi="仿宋" w:eastAsia="仿宋" w:cs="仿宋"/>
          <w:b w:val="0"/>
          <w:bCs w:val="0"/>
          <w:color w:val="auto"/>
          <w:kern w:val="2"/>
          <w:sz w:val="24"/>
          <w:szCs w:val="24"/>
          <w:lang w:val="en-US" w:eastAsia="zh-CN" w:bidi="ar-SA"/>
        </w:rPr>
        <w:tab/>
      </w:r>
      <w:r>
        <w:rPr>
          <w:rFonts w:hint="default" w:ascii="仿宋" w:hAnsi="仿宋" w:eastAsia="仿宋" w:cs="仿宋"/>
          <w:b w:val="0"/>
          <w:bCs w:val="0"/>
          <w:color w:val="auto"/>
          <w:kern w:val="2"/>
          <w:sz w:val="24"/>
          <w:szCs w:val="24"/>
          <w:lang w:val="en-US" w:eastAsia="zh-CN" w:bidi="ar-SA"/>
        </w:rPr>
        <w:t>1、设备远程触屏操控；2、仪器面板按键操作</w:t>
      </w:r>
      <w:r>
        <w:rPr>
          <w:rFonts w:hint="eastAsia" w:ascii="仿宋" w:hAnsi="仿宋" w:eastAsia="仿宋" w:cs="仿宋"/>
          <w:b w:val="0"/>
          <w:bCs w:val="0"/>
          <w:color w:val="auto"/>
          <w:kern w:val="2"/>
          <w:sz w:val="24"/>
          <w:szCs w:val="24"/>
          <w:lang w:val="en-US" w:eastAsia="zh-CN" w:bidi="ar-SA"/>
        </w:rPr>
        <w:t>。</w:t>
      </w:r>
    </w:p>
    <w:p w14:paraId="77BCA2A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en-US" w:eastAsia="zh-CN" w:bidi="ar-SA"/>
        </w:rPr>
        <w:t>1</w:t>
      </w:r>
      <w:r>
        <w:rPr>
          <w:rFonts w:hint="default" w:ascii="仿宋" w:hAnsi="仿宋" w:eastAsia="仿宋" w:cs="仿宋"/>
          <w:b w:val="0"/>
          <w:bCs w:val="0"/>
          <w:color w:val="auto"/>
          <w:kern w:val="2"/>
          <w:sz w:val="24"/>
          <w:szCs w:val="24"/>
          <w:lang w:val="en-US" w:eastAsia="zh-CN" w:bidi="ar-SA"/>
        </w:rPr>
        <w:t>.二维码识别：可外接扫码枪，使用具有二维码试剂盒时扫码后即可运行，无需任何人工干预。</w:t>
      </w:r>
    </w:p>
    <w:p w14:paraId="3B8DED0C">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二、</w:t>
      </w:r>
      <w:r>
        <w:rPr>
          <w:rFonts w:hint="eastAsia" w:ascii="仿宋" w:hAnsi="仿宋" w:eastAsia="仿宋" w:cs="仿宋"/>
          <w:b/>
          <w:bCs/>
          <w:color w:val="auto"/>
          <w:kern w:val="2"/>
          <w:sz w:val="24"/>
          <w:szCs w:val="24"/>
          <w:lang w:val="en-US" w:eastAsia="zh-CN" w:bidi="ar-SA"/>
        </w:rPr>
        <w:t>其它</w:t>
      </w:r>
      <w:r>
        <w:rPr>
          <w:rFonts w:hint="default" w:ascii="仿宋" w:hAnsi="仿宋" w:eastAsia="仿宋" w:cs="仿宋"/>
          <w:b/>
          <w:bCs/>
          <w:color w:val="auto"/>
          <w:kern w:val="2"/>
          <w:sz w:val="24"/>
          <w:szCs w:val="24"/>
          <w:lang w:val="en-US" w:eastAsia="zh-CN" w:bidi="ar-SA"/>
        </w:rPr>
        <w:t>配置</w:t>
      </w:r>
    </w:p>
    <w:p w14:paraId="3CFF72A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1.掌上离心机 3台</w:t>
      </w:r>
    </w:p>
    <w:p w14:paraId="57A129D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2.旋涡混合器 3台</w:t>
      </w:r>
    </w:p>
    <w:p w14:paraId="57C3900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3.单道移液枪3把</w:t>
      </w:r>
      <w:r>
        <w:rPr>
          <w:rFonts w:hint="eastAsia" w:ascii="仿宋" w:hAnsi="仿宋" w:eastAsia="仿宋" w:cs="仿宋"/>
          <w:b w:val="0"/>
          <w:bCs w:val="0"/>
          <w:color w:val="auto"/>
          <w:kern w:val="2"/>
          <w:sz w:val="24"/>
          <w:szCs w:val="24"/>
          <w:lang w:val="en-US" w:eastAsia="zh-CN" w:bidi="ar-SA"/>
        </w:rPr>
        <w:t>(量程1-10、20-200、100-1000微升各1把)</w:t>
      </w:r>
    </w:p>
    <w:p w14:paraId="13348763">
      <w:pPr>
        <w:rPr>
          <w:rFonts w:hint="default" w:ascii="仿宋" w:hAnsi="仿宋" w:eastAsia="仿宋" w:cs="仿宋"/>
          <w:b/>
          <w:bCs/>
          <w:color w:val="auto"/>
          <w:kern w:val="2"/>
          <w:sz w:val="24"/>
          <w:szCs w:val="24"/>
          <w:lang w:val="en-US" w:eastAsia="zh-CN" w:bidi="ar-SA"/>
        </w:rPr>
      </w:pPr>
    </w:p>
    <w:p w14:paraId="5F7E55F4">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2包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全自动医用PCR分析系统</w:t>
      </w:r>
    </w:p>
    <w:p w14:paraId="7B99935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一、主要技术参数</w:t>
      </w:r>
    </w:p>
    <w:p w14:paraId="36C157A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1.激发光源： LED光源（免维护）</w:t>
      </w:r>
    </w:p>
    <w:p w14:paraId="2B5EA90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2.检测器： 光电传感器</w:t>
      </w:r>
    </w:p>
    <w:p w14:paraId="57418D2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★3.样本容量： 96孔（0.2ml反应管、8联管、96孔板）</w:t>
      </w:r>
    </w:p>
    <w:p w14:paraId="1EC87BB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4.荧光检测波长： 8通道</w:t>
      </w:r>
    </w:p>
    <w:p w14:paraId="34764E1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5.法规使用年限： ≥7年</w:t>
      </w:r>
    </w:p>
    <w:p w14:paraId="69530CE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6.运行控制： 一台电脑可连接多台仪器，控制运行</w:t>
      </w:r>
    </w:p>
    <w:p w14:paraId="417E6D4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7.可检测的荧光素及染料： FAM,SYBR Green，VIC, HEX, Joe, TET，TAMRA，CY3，ROX, Texas Red, CY5, Quasar 705、CY5.5, Atto425，CY7 ，AF405</w:t>
      </w:r>
    </w:p>
    <w:p w14:paraId="3DF9D5E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8.检测方式： 反应管的近底部侧面激发、检测</w:t>
      </w:r>
    </w:p>
    <w:p w14:paraId="3E25640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9.激发、检测光的传输模式： 每一反应孔独立的光纤传输</w:t>
      </w:r>
    </w:p>
    <w:p w14:paraId="48A6BDD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10.软件应用模式： 定量/定性、熔解曲线（多色熔解曲线）、多管多项目分析、相对定量、等位基因、HRM（高分辨率熔解曲线）、等温扩增</w:t>
      </w:r>
    </w:p>
    <w:p w14:paraId="0880457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11.模块温度范围： 4℃-99℃</w:t>
      </w:r>
    </w:p>
    <w:p w14:paraId="0838128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12.检测动力学范围： 10</w:t>
      </w:r>
      <w:r>
        <w:rPr>
          <w:rFonts w:hint="default" w:ascii="仿宋" w:hAnsi="仿宋" w:eastAsia="仿宋" w:cs="仿宋"/>
          <w:b w:val="0"/>
          <w:bCs w:val="0"/>
          <w:color w:val="auto"/>
          <w:kern w:val="2"/>
          <w:sz w:val="24"/>
          <w:szCs w:val="24"/>
          <w:vertAlign w:val="superscript"/>
          <w:lang w:val="en-US" w:eastAsia="zh-CN" w:bidi="ar-SA"/>
        </w:rPr>
        <w:t>0</w:t>
      </w:r>
      <w:r>
        <w:rPr>
          <w:rFonts w:hint="default" w:ascii="仿宋" w:hAnsi="仿宋" w:eastAsia="仿宋" w:cs="仿宋"/>
          <w:b w:val="0"/>
          <w:bCs w:val="0"/>
          <w:color w:val="auto"/>
          <w:kern w:val="2"/>
          <w:sz w:val="24"/>
          <w:szCs w:val="24"/>
          <w:lang w:val="en-US" w:eastAsia="zh-CN" w:bidi="ar-SA"/>
        </w:rPr>
        <w:softHyphen/>
      </w:r>
      <w:r>
        <w:rPr>
          <w:rFonts w:hint="default" w:ascii="仿宋" w:hAnsi="仿宋" w:eastAsia="仿宋" w:cs="仿宋"/>
          <w:b w:val="0"/>
          <w:bCs w:val="0"/>
          <w:color w:val="auto"/>
          <w:kern w:val="2"/>
          <w:sz w:val="24"/>
          <w:szCs w:val="24"/>
          <w:lang w:val="en-US" w:eastAsia="zh-CN" w:bidi="ar-SA"/>
        </w:rPr>
        <w:t>-10</w:t>
      </w:r>
      <w:r>
        <w:rPr>
          <w:rFonts w:hint="default" w:ascii="仿宋" w:hAnsi="仿宋" w:eastAsia="仿宋" w:cs="仿宋"/>
          <w:b w:val="0"/>
          <w:bCs w:val="0"/>
          <w:color w:val="auto"/>
          <w:kern w:val="2"/>
          <w:sz w:val="24"/>
          <w:szCs w:val="24"/>
          <w:vertAlign w:val="superscript"/>
          <w:lang w:val="en-US" w:eastAsia="zh-CN" w:bidi="ar-SA"/>
        </w:rPr>
        <w:t>10</w:t>
      </w:r>
      <w:r>
        <w:rPr>
          <w:rFonts w:hint="default" w:ascii="仿宋" w:hAnsi="仿宋" w:eastAsia="仿宋" w:cs="仿宋"/>
          <w:b w:val="0"/>
          <w:bCs w:val="0"/>
          <w:color w:val="auto"/>
          <w:kern w:val="2"/>
          <w:sz w:val="24"/>
          <w:szCs w:val="24"/>
          <w:lang w:val="en-US" w:eastAsia="zh-CN" w:bidi="ar-SA"/>
        </w:rPr>
        <w:t>拷贝数</w:t>
      </w:r>
    </w:p>
    <w:p w14:paraId="5A5AAD4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★13.最小检测模板： 单个拷贝</w:t>
      </w:r>
    </w:p>
    <w:p w14:paraId="681B13E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14.控温模式： 半导体热电模块</w:t>
      </w:r>
    </w:p>
    <w:p w14:paraId="7306BB5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15.平均升温速率： ≥8℃/S</w:t>
      </w:r>
    </w:p>
    <w:p w14:paraId="47E9B3C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16.平均降温速率： ≥5℃/S</w:t>
      </w:r>
    </w:p>
    <w:p w14:paraId="6E57DF5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17.控温精度： ±0.1℃</w:t>
      </w:r>
    </w:p>
    <w:p w14:paraId="1226532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18.温度均匀性： ±0.1℃</w:t>
      </w:r>
    </w:p>
    <w:p w14:paraId="17DF369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▲19.断电保护： 有断电保护功能</w:t>
      </w:r>
    </w:p>
    <w:p w14:paraId="02B27A66">
      <w:pPr>
        <w:rPr>
          <w:rFonts w:hint="eastAsia"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▲20.软件： 配置项目检测结果判读软件，仪器自动输出结核分枝杆菌鉴定、耐药检测和遗传性耳聋检测结果，直接导出实验结论</w:t>
      </w:r>
      <w:r>
        <w:rPr>
          <w:rFonts w:hint="eastAsia" w:ascii="仿宋" w:hAnsi="仿宋" w:eastAsia="仿宋" w:cs="仿宋"/>
          <w:b/>
          <w:bCs/>
          <w:color w:val="auto"/>
          <w:kern w:val="2"/>
          <w:sz w:val="24"/>
          <w:szCs w:val="24"/>
          <w:lang w:val="en-US" w:eastAsia="zh-CN" w:bidi="ar-SA"/>
        </w:rPr>
        <w:t>。</w:t>
      </w:r>
    </w:p>
    <w:p w14:paraId="1B236DA3">
      <w:pPr>
        <w:rPr>
          <w:rFonts w:hint="eastAsia"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▲21.在结核分枝杆菌鉴定、耐药检测和遗传性基因检测等项目检测分析中，能自动识别熔解峰的温度及峰高，能自动识别重叠峰</w:t>
      </w:r>
      <w:r>
        <w:rPr>
          <w:rFonts w:hint="eastAsia" w:ascii="仿宋" w:hAnsi="仿宋" w:eastAsia="仿宋" w:cs="仿宋"/>
          <w:b w:val="0"/>
          <w:bCs w:val="0"/>
          <w:color w:val="auto"/>
          <w:kern w:val="2"/>
          <w:sz w:val="24"/>
          <w:szCs w:val="24"/>
          <w:lang w:val="en-US" w:eastAsia="zh-CN" w:bidi="ar-SA"/>
        </w:rPr>
        <w:t>。</w:t>
      </w:r>
    </w:p>
    <w:p w14:paraId="0E1BB05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en-US" w:eastAsia="zh-CN" w:bidi="ar-SA"/>
        </w:rPr>
        <w:t>2</w:t>
      </w:r>
      <w:r>
        <w:rPr>
          <w:rFonts w:hint="default" w:ascii="仿宋" w:hAnsi="仿宋" w:eastAsia="仿宋" w:cs="仿宋"/>
          <w:b w:val="0"/>
          <w:bCs w:val="0"/>
          <w:color w:val="auto"/>
          <w:kern w:val="2"/>
          <w:sz w:val="24"/>
          <w:szCs w:val="24"/>
          <w:lang w:val="en-US" w:eastAsia="zh-CN" w:bidi="ar-SA"/>
        </w:rPr>
        <w:t>.分枝杆菌菌种鉴定、结核分枝杆菌耐药检测和遗传性基因检测等项目熔解曲线结果判读软件一套</w:t>
      </w:r>
      <w:r>
        <w:rPr>
          <w:rFonts w:hint="eastAsia" w:ascii="仿宋" w:hAnsi="仿宋" w:eastAsia="仿宋" w:cs="仿宋"/>
          <w:b w:val="0"/>
          <w:bCs w:val="0"/>
          <w:color w:val="auto"/>
          <w:kern w:val="2"/>
          <w:sz w:val="24"/>
          <w:szCs w:val="24"/>
          <w:lang w:val="en-US" w:eastAsia="zh-CN" w:bidi="ar-SA"/>
        </w:rPr>
        <w:t>。</w:t>
      </w:r>
    </w:p>
    <w:p w14:paraId="5EDB98C5">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二、</w:t>
      </w:r>
      <w:r>
        <w:rPr>
          <w:rFonts w:hint="eastAsia" w:ascii="仿宋" w:hAnsi="仿宋" w:eastAsia="仿宋" w:cs="仿宋"/>
          <w:b/>
          <w:bCs/>
          <w:color w:val="auto"/>
          <w:kern w:val="2"/>
          <w:sz w:val="24"/>
          <w:szCs w:val="24"/>
          <w:lang w:val="en-US" w:eastAsia="zh-CN" w:bidi="ar-SA"/>
        </w:rPr>
        <w:t>其它</w:t>
      </w:r>
      <w:r>
        <w:rPr>
          <w:rFonts w:hint="default" w:ascii="仿宋" w:hAnsi="仿宋" w:eastAsia="仿宋" w:cs="仿宋"/>
          <w:b/>
          <w:bCs/>
          <w:color w:val="auto"/>
          <w:kern w:val="2"/>
          <w:sz w:val="24"/>
          <w:szCs w:val="24"/>
          <w:lang w:val="en-US" w:eastAsia="zh-CN" w:bidi="ar-SA"/>
        </w:rPr>
        <w:t>配置</w:t>
      </w:r>
    </w:p>
    <w:p w14:paraId="0892FA4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1.40孔</w:t>
      </w:r>
      <w:r>
        <w:rPr>
          <w:rFonts w:hint="eastAsia" w:ascii="仿宋" w:hAnsi="仿宋" w:eastAsia="仿宋" w:cs="仿宋"/>
          <w:b w:val="0"/>
          <w:bCs w:val="0"/>
          <w:color w:val="auto"/>
          <w:kern w:val="2"/>
          <w:sz w:val="24"/>
          <w:szCs w:val="24"/>
          <w:lang w:val="en-US" w:eastAsia="zh-CN" w:bidi="ar-SA"/>
        </w:rPr>
        <w:t>5/7ml</w:t>
      </w:r>
      <w:r>
        <w:rPr>
          <w:rFonts w:hint="default" w:ascii="仿宋" w:hAnsi="仿宋" w:eastAsia="仿宋" w:cs="仿宋"/>
          <w:b w:val="0"/>
          <w:bCs w:val="0"/>
          <w:color w:val="auto"/>
          <w:kern w:val="2"/>
          <w:sz w:val="24"/>
          <w:szCs w:val="24"/>
          <w:lang w:val="en-US" w:eastAsia="zh-CN" w:bidi="ar-SA"/>
        </w:rPr>
        <w:t>低速离心机1台</w:t>
      </w:r>
    </w:p>
    <w:p w14:paraId="0A681FD0">
      <w:pPr>
        <w:numPr>
          <w:ilvl w:val="0"/>
          <w:numId w:val="1"/>
        </w:numPr>
        <w:rPr>
          <w:rFonts w:hint="eastAsia"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单道移液枪10把</w:t>
      </w:r>
      <w:r>
        <w:rPr>
          <w:rFonts w:hint="eastAsia" w:ascii="仿宋" w:hAnsi="仿宋" w:eastAsia="仿宋" w:cs="仿宋"/>
          <w:b w:val="0"/>
          <w:bCs w:val="0"/>
          <w:color w:val="auto"/>
          <w:kern w:val="2"/>
          <w:sz w:val="24"/>
          <w:szCs w:val="24"/>
          <w:lang w:val="en-US" w:eastAsia="zh-CN" w:bidi="ar-SA"/>
        </w:rPr>
        <w:t>（量程1-10微升2把、20-200微升6把、100-1000微升2把）</w:t>
      </w:r>
    </w:p>
    <w:p w14:paraId="7841363A">
      <w:pPr>
        <w:numPr>
          <w:ilvl w:val="0"/>
          <w:numId w:val="0"/>
        </w:numPr>
        <w:rPr>
          <w:rFonts w:hint="default" w:ascii="仿宋" w:hAnsi="仿宋" w:eastAsia="仿宋" w:cs="仿宋"/>
          <w:b w:val="0"/>
          <w:bCs w:val="0"/>
          <w:color w:val="auto"/>
          <w:kern w:val="2"/>
          <w:sz w:val="24"/>
          <w:szCs w:val="24"/>
          <w:lang w:val="en-US" w:eastAsia="zh-CN" w:bidi="ar-SA"/>
        </w:rPr>
      </w:pPr>
    </w:p>
    <w:p w14:paraId="793F3BF0">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3包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全自动血液分析流水线</w:t>
      </w:r>
    </w:p>
    <w:p w14:paraId="6899C3B9">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一：全自动血液分析流水线基本功能及要求：</w:t>
      </w:r>
    </w:p>
    <w:p w14:paraId="600876F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1、全自动血液分析流水线由同品牌的全自动五分类血液</w:t>
      </w:r>
      <w:r>
        <w:rPr>
          <w:rFonts w:hint="eastAsia" w:ascii="仿宋" w:hAnsi="仿宋" w:eastAsia="仿宋" w:cs="仿宋"/>
          <w:b w:val="0"/>
          <w:bCs w:val="0"/>
          <w:color w:val="auto"/>
          <w:kern w:val="2"/>
          <w:sz w:val="24"/>
          <w:szCs w:val="24"/>
          <w:lang w:val="en-US" w:eastAsia="zh-CN" w:bidi="ar-SA"/>
        </w:rPr>
        <w:t>体液</w:t>
      </w:r>
      <w:r>
        <w:rPr>
          <w:rFonts w:hint="default" w:ascii="仿宋" w:hAnsi="仿宋" w:eastAsia="仿宋" w:cs="仿宋"/>
          <w:b w:val="0"/>
          <w:bCs w:val="0"/>
          <w:color w:val="auto"/>
          <w:kern w:val="2"/>
          <w:sz w:val="24"/>
          <w:szCs w:val="24"/>
          <w:lang w:val="en-US" w:eastAsia="zh-CN" w:bidi="ar-SA"/>
        </w:rPr>
        <w:t>细胞分析仪、全自动特定蛋白分析仪、推片染色机和全自动细胞形态学分析仪（阅片机）等模块通过轨道实现物理连接。</w:t>
      </w:r>
    </w:p>
    <w:p w14:paraId="6196D28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2、流水线上</w:t>
      </w:r>
      <w:r>
        <w:rPr>
          <w:rFonts w:hint="eastAsia" w:ascii="仿宋" w:hAnsi="仿宋" w:eastAsia="仿宋" w:cs="仿宋"/>
          <w:b w:val="0"/>
          <w:bCs w:val="0"/>
          <w:color w:val="auto"/>
          <w:kern w:val="2"/>
          <w:sz w:val="24"/>
          <w:szCs w:val="24"/>
          <w:lang w:val="en-US" w:eastAsia="zh-CN" w:bidi="ar-SA"/>
        </w:rPr>
        <w:t>可</w:t>
      </w:r>
      <w:r>
        <w:rPr>
          <w:rFonts w:hint="default" w:ascii="仿宋" w:hAnsi="仿宋" w:eastAsia="仿宋" w:cs="仿宋"/>
          <w:b w:val="0"/>
          <w:bCs w:val="0"/>
          <w:color w:val="auto"/>
          <w:kern w:val="2"/>
          <w:sz w:val="24"/>
          <w:szCs w:val="24"/>
          <w:lang w:val="en-US" w:eastAsia="zh-CN" w:bidi="ar-SA"/>
        </w:rPr>
        <w:t>实现血常规、网织红细胞、CRP、SAA、血沉等项目的检测，以及血涂片的推片染色、细胞形态学分类处理，各模块需实现物理化的轨道连接以及信息连接。</w:t>
      </w:r>
    </w:p>
    <w:p w14:paraId="7844498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▲3、全血细胞计数+五分类检测速度≥400个样本/小时，模块可同时开展CRP、SAA检测并且CRP或SAA检测速度≥200个样本/小时,血沉检测速度≥100个样本/小时。</w:t>
      </w:r>
    </w:p>
    <w:p w14:paraId="3F45AFD3">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二：全自动五分类血液</w:t>
      </w:r>
      <w:r>
        <w:rPr>
          <w:rFonts w:hint="eastAsia" w:ascii="仿宋" w:hAnsi="仿宋" w:eastAsia="仿宋" w:cs="仿宋"/>
          <w:b/>
          <w:bCs/>
          <w:color w:val="auto"/>
          <w:kern w:val="2"/>
          <w:sz w:val="24"/>
          <w:szCs w:val="24"/>
          <w:lang w:val="en-US" w:eastAsia="zh-CN" w:bidi="ar-SA"/>
        </w:rPr>
        <w:t>体液</w:t>
      </w:r>
      <w:r>
        <w:rPr>
          <w:rFonts w:hint="default" w:ascii="仿宋" w:hAnsi="仿宋" w:eastAsia="仿宋" w:cs="仿宋"/>
          <w:b/>
          <w:bCs/>
          <w:color w:val="auto"/>
          <w:kern w:val="2"/>
          <w:sz w:val="24"/>
          <w:szCs w:val="24"/>
          <w:lang w:val="en-US" w:eastAsia="zh-CN" w:bidi="ar-SA"/>
        </w:rPr>
        <w:t>细胞分析仪参数要求：</w:t>
      </w:r>
    </w:p>
    <w:p w14:paraId="3EA706D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★1、单机检测速度需满足：CBC＋DIFF＋NRBC≥120样本/小时</w:t>
      </w:r>
    </w:p>
    <w:p w14:paraId="2F52E4C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2、具有全自动体液（含胸水、腹水、脑脊液、滑膜液等体液）细胞计数和对体液中的白细胞进行分类的功能，并能出具报告参数且体液模式报告检测参数≥7项</w:t>
      </w:r>
    </w:p>
    <w:p w14:paraId="2CA8E75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3、血液分析线性范围（静脉血）：白细胞：（0-500）×109/L，红细胞：（0-8.6）×1012/L，血小板：（0-5000）× 109/L。</w:t>
      </w:r>
    </w:p>
    <w:p w14:paraId="41DD24B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4、具备同品牌经过NMPA注册的复合质控品，一支质控品可以涵盖</w:t>
      </w:r>
      <w:r>
        <w:rPr>
          <w:rFonts w:hint="eastAsia" w:ascii="仿宋" w:hAnsi="仿宋" w:eastAsia="仿宋" w:cs="仿宋"/>
          <w:sz w:val="24"/>
          <w:szCs w:val="24"/>
          <w:lang w:val="en-US" w:eastAsia="zh-CN"/>
        </w:rPr>
        <w:t>包括但不限于</w:t>
      </w:r>
      <w:r>
        <w:rPr>
          <w:rFonts w:hint="default" w:ascii="仿宋" w:hAnsi="仿宋" w:eastAsia="仿宋" w:cs="仿宋"/>
          <w:b w:val="0"/>
          <w:bCs w:val="0"/>
          <w:color w:val="auto"/>
          <w:kern w:val="2"/>
          <w:sz w:val="24"/>
          <w:szCs w:val="24"/>
          <w:lang w:val="en-US" w:eastAsia="zh-CN" w:bidi="ar-SA"/>
        </w:rPr>
        <w:t>红细胞计数</w:t>
      </w:r>
      <w:r>
        <w:rPr>
          <w:rFonts w:hint="eastAsia" w:ascii="仿宋" w:hAnsi="仿宋" w:eastAsia="仿宋" w:cs="仿宋"/>
          <w:b w:val="0"/>
          <w:bCs w:val="0"/>
          <w:color w:val="auto"/>
          <w:kern w:val="2"/>
          <w:sz w:val="24"/>
          <w:szCs w:val="24"/>
          <w:lang w:val="en-US" w:eastAsia="zh-CN" w:bidi="ar-SA"/>
        </w:rPr>
        <w:t>、</w:t>
      </w:r>
      <w:r>
        <w:rPr>
          <w:rFonts w:hint="default" w:ascii="仿宋" w:hAnsi="仿宋" w:eastAsia="仿宋" w:cs="仿宋"/>
          <w:b w:val="0"/>
          <w:bCs w:val="0"/>
          <w:color w:val="auto"/>
          <w:kern w:val="2"/>
          <w:sz w:val="24"/>
          <w:szCs w:val="24"/>
          <w:lang w:val="en-US" w:eastAsia="zh-CN" w:bidi="ar-SA"/>
        </w:rPr>
        <w:t>白细胞分类、网织红细胞等检测项目（以靶值表为准）</w:t>
      </w:r>
    </w:p>
    <w:p w14:paraId="6123A46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▲5、提供原厂校准品及校准品溯源报告，具备RET校准品。</w:t>
      </w:r>
    </w:p>
    <w:p w14:paraId="34449DF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6、CRP分析原理为免疫散射速率法。</w:t>
      </w:r>
    </w:p>
    <w:p w14:paraId="30124ADC">
      <w:pPr>
        <w:rPr>
          <w:rFonts w:hint="eastAsia"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▲7、所投产品型号在全国卫生部室间质评项目中的“全血细胞技术专业”以及“特殊蛋白专业CRP项目“具备单独的型号分组</w:t>
      </w:r>
      <w:r>
        <w:rPr>
          <w:rFonts w:hint="eastAsia" w:ascii="仿宋" w:hAnsi="仿宋" w:eastAsia="仿宋" w:cs="仿宋"/>
          <w:b w:val="0"/>
          <w:bCs w:val="0"/>
          <w:color w:val="auto"/>
          <w:kern w:val="2"/>
          <w:sz w:val="24"/>
          <w:szCs w:val="24"/>
          <w:lang w:val="en-US" w:eastAsia="zh-CN" w:bidi="ar-SA"/>
        </w:rPr>
        <w:t>。</w:t>
      </w:r>
    </w:p>
    <w:p w14:paraId="601C3EB9">
      <w:pPr>
        <w:rPr>
          <w:rFonts w:hint="eastAsia"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eastAsia" w:ascii="仿宋" w:hAnsi="仿宋" w:eastAsia="仿宋" w:cs="仿宋"/>
          <w:b w:val="0"/>
          <w:bCs w:val="0"/>
          <w:color w:val="auto"/>
          <w:kern w:val="2"/>
          <w:sz w:val="24"/>
          <w:szCs w:val="24"/>
          <w:lang w:val="en-US" w:eastAsia="zh-CN" w:bidi="ar-SA"/>
        </w:rPr>
        <w:t>8</w:t>
      </w:r>
      <w:r>
        <w:rPr>
          <w:rFonts w:hint="default" w:ascii="仿宋" w:hAnsi="仿宋" w:eastAsia="仿宋" w:cs="仿宋"/>
          <w:b w:val="0"/>
          <w:bCs w:val="0"/>
          <w:color w:val="auto"/>
          <w:kern w:val="2"/>
          <w:sz w:val="24"/>
          <w:szCs w:val="24"/>
          <w:lang w:val="en-US" w:eastAsia="zh-CN" w:bidi="ar-SA"/>
        </w:rPr>
        <w:t>、具备同品牌CRP及SAA的校准品</w:t>
      </w:r>
      <w:r>
        <w:rPr>
          <w:rFonts w:hint="eastAsia" w:ascii="仿宋" w:hAnsi="仿宋" w:eastAsia="仿宋" w:cs="仿宋"/>
          <w:b w:val="0"/>
          <w:bCs w:val="0"/>
          <w:color w:val="auto"/>
          <w:kern w:val="2"/>
          <w:sz w:val="24"/>
          <w:szCs w:val="24"/>
          <w:lang w:val="en-US" w:eastAsia="zh-CN" w:bidi="ar-SA"/>
        </w:rPr>
        <w:t>。</w:t>
      </w:r>
    </w:p>
    <w:p w14:paraId="398FD806">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三：全自动推片染色机参数要求：</w:t>
      </w:r>
    </w:p>
    <w:p w14:paraId="30F13BC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1、为保障各模块检测结果兼容性，全自动推片染色机与血液细胞分析仪为同一制造商。</w:t>
      </w:r>
    </w:p>
    <w:p w14:paraId="4174E5A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2、推片所需最小样本量≤38μl</w:t>
      </w:r>
      <w:r>
        <w:rPr>
          <w:rFonts w:hint="eastAsia" w:ascii="仿宋" w:hAnsi="仿宋" w:eastAsia="仿宋" w:cs="仿宋"/>
          <w:b w:val="0"/>
          <w:bCs w:val="0"/>
          <w:color w:val="auto"/>
          <w:kern w:val="2"/>
          <w:sz w:val="24"/>
          <w:szCs w:val="24"/>
          <w:lang w:val="en-US" w:eastAsia="zh-CN" w:bidi="ar-SA"/>
        </w:rPr>
        <w:t>。</w:t>
      </w:r>
    </w:p>
    <w:p w14:paraId="5B42D43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3、单台仪器对玻片的最大装载量≥140片</w:t>
      </w:r>
      <w:r>
        <w:rPr>
          <w:rFonts w:hint="eastAsia" w:ascii="仿宋" w:hAnsi="仿宋" w:eastAsia="仿宋" w:cs="仿宋"/>
          <w:b w:val="0"/>
          <w:bCs w:val="0"/>
          <w:color w:val="auto"/>
          <w:kern w:val="2"/>
          <w:sz w:val="24"/>
          <w:szCs w:val="24"/>
          <w:lang w:val="en-US" w:eastAsia="zh-CN" w:bidi="ar-SA"/>
        </w:rPr>
        <w:t>。</w:t>
      </w:r>
    </w:p>
    <w:p w14:paraId="5DF4103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4、支持一次吸样多次推片，推片次数≥5次推片</w:t>
      </w:r>
      <w:r>
        <w:rPr>
          <w:rFonts w:hint="eastAsia" w:ascii="仿宋" w:hAnsi="仿宋" w:eastAsia="仿宋" w:cs="仿宋"/>
          <w:b w:val="0"/>
          <w:bCs w:val="0"/>
          <w:color w:val="auto"/>
          <w:kern w:val="2"/>
          <w:sz w:val="24"/>
          <w:szCs w:val="24"/>
          <w:lang w:val="en-US" w:eastAsia="zh-CN" w:bidi="ar-SA"/>
        </w:rPr>
        <w:t>。</w:t>
      </w:r>
    </w:p>
    <w:p w14:paraId="3650D0A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5、为减少实验室占地面级，仪器的宽度（即长度和深度中最大尺寸）需≤1.5米。</w:t>
      </w:r>
    </w:p>
    <w:p w14:paraId="7E12007A">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四：全自动阅片仪器参数要求：</w:t>
      </w:r>
    </w:p>
    <w:p w14:paraId="5B888A0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1、适用范围：用于对外周血涂片血细胞的形态图像摄取、可视化观察及描述，包括白细胞单细胞图像摄取、初步分类，红细胞形态描述及血小板数目估算。</w:t>
      </w:r>
    </w:p>
    <w:p w14:paraId="6C6E366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▲2、为保障仪器兼容性，全自动细胞形态学分析仪需与血液细胞分析仪为同一制造商。</w:t>
      </w:r>
    </w:p>
    <w:p w14:paraId="21A32BB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3、软件界面可实现针对血小板聚集的报警的文字提示。</w:t>
      </w:r>
    </w:p>
    <w:p w14:paraId="51DB62B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4、阅片机可对体液样本进行分析。</w:t>
      </w:r>
    </w:p>
    <w:p w14:paraId="77A73FA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5、设备对白细胞预分类（不包含手动添加）参数需≥12种（以说明书为准）</w:t>
      </w:r>
    </w:p>
    <w:p w14:paraId="135363D4">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eastAsia" w:ascii="仿宋" w:hAnsi="仿宋" w:eastAsia="仿宋" w:cs="仿宋"/>
          <w:b/>
          <w:bCs/>
          <w:color w:val="auto"/>
          <w:kern w:val="2"/>
          <w:sz w:val="24"/>
          <w:szCs w:val="24"/>
          <w:lang w:val="en-US" w:eastAsia="zh-CN" w:bidi="ar-SA"/>
        </w:rPr>
        <w:t>五</w:t>
      </w:r>
      <w:r>
        <w:rPr>
          <w:rFonts w:hint="default" w:ascii="仿宋" w:hAnsi="仿宋" w:eastAsia="仿宋" w:cs="仿宋"/>
          <w:b/>
          <w:bCs/>
          <w:color w:val="auto"/>
          <w:kern w:val="2"/>
          <w:sz w:val="24"/>
          <w:szCs w:val="24"/>
          <w:lang w:val="en-US" w:eastAsia="zh-CN" w:bidi="ar-SA"/>
        </w:rPr>
        <w:t>、</w:t>
      </w:r>
      <w:r>
        <w:rPr>
          <w:rFonts w:hint="eastAsia" w:ascii="仿宋" w:hAnsi="仿宋" w:eastAsia="仿宋" w:cs="仿宋"/>
          <w:b/>
          <w:bCs/>
          <w:color w:val="auto"/>
          <w:kern w:val="2"/>
          <w:sz w:val="24"/>
          <w:szCs w:val="24"/>
          <w:lang w:val="en-US" w:eastAsia="zh-CN" w:bidi="ar-SA"/>
        </w:rPr>
        <w:t>其它</w:t>
      </w:r>
      <w:r>
        <w:rPr>
          <w:rFonts w:hint="default" w:ascii="仿宋" w:hAnsi="仿宋" w:eastAsia="仿宋" w:cs="仿宋"/>
          <w:b/>
          <w:bCs/>
          <w:color w:val="auto"/>
          <w:kern w:val="2"/>
          <w:sz w:val="24"/>
          <w:szCs w:val="24"/>
          <w:lang w:val="en-US" w:eastAsia="zh-CN" w:bidi="ar-SA"/>
        </w:rPr>
        <w:t>配置：</w:t>
      </w:r>
    </w:p>
    <w:p w14:paraId="34CCBB7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1：96孔</w:t>
      </w:r>
      <w:r>
        <w:rPr>
          <w:rFonts w:hint="eastAsia" w:ascii="仿宋" w:hAnsi="仿宋" w:eastAsia="仿宋" w:cs="仿宋"/>
          <w:b w:val="0"/>
          <w:bCs w:val="0"/>
          <w:color w:val="auto"/>
          <w:kern w:val="2"/>
          <w:sz w:val="24"/>
          <w:szCs w:val="24"/>
          <w:lang w:val="en-US" w:eastAsia="zh-CN" w:bidi="ar-SA"/>
        </w:rPr>
        <w:t>5/7ml</w:t>
      </w:r>
      <w:r>
        <w:rPr>
          <w:rFonts w:hint="default" w:ascii="仿宋" w:hAnsi="仿宋" w:eastAsia="仿宋" w:cs="仿宋"/>
          <w:b w:val="0"/>
          <w:bCs w:val="0"/>
          <w:color w:val="auto"/>
          <w:kern w:val="2"/>
          <w:sz w:val="24"/>
          <w:szCs w:val="24"/>
          <w:lang w:val="en-US" w:eastAsia="zh-CN" w:bidi="ar-SA"/>
        </w:rPr>
        <w:t>低速离心机1台</w:t>
      </w:r>
    </w:p>
    <w:p w14:paraId="04EDB1E3">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w:t>
      </w:r>
      <w:r>
        <w:rPr>
          <w:rFonts w:hint="default" w:ascii="仿宋" w:hAnsi="仿宋" w:eastAsia="仿宋" w:cs="仿宋"/>
          <w:b w:val="0"/>
          <w:bCs w:val="0"/>
          <w:color w:val="auto"/>
          <w:kern w:val="2"/>
          <w:sz w:val="24"/>
          <w:szCs w:val="24"/>
          <w:lang w:val="en-US" w:eastAsia="zh-CN" w:bidi="ar-SA"/>
        </w:rPr>
        <w:t>：</w:t>
      </w:r>
      <w:r>
        <w:rPr>
          <w:rFonts w:hint="eastAsia" w:ascii="仿宋" w:hAnsi="仿宋" w:eastAsia="仿宋" w:cs="仿宋"/>
          <w:b w:val="0"/>
          <w:bCs w:val="0"/>
          <w:color w:val="auto"/>
          <w:kern w:val="2"/>
          <w:sz w:val="24"/>
          <w:szCs w:val="24"/>
          <w:lang w:val="en-US" w:eastAsia="zh-CN" w:bidi="ar-SA"/>
        </w:rPr>
        <w:t>光学</w:t>
      </w:r>
      <w:r>
        <w:rPr>
          <w:rFonts w:hint="default" w:ascii="仿宋" w:hAnsi="仿宋" w:eastAsia="仿宋" w:cs="仿宋"/>
          <w:b w:val="0"/>
          <w:bCs w:val="0"/>
          <w:color w:val="auto"/>
          <w:kern w:val="2"/>
          <w:sz w:val="24"/>
          <w:szCs w:val="24"/>
          <w:lang w:val="en-US" w:eastAsia="zh-CN" w:bidi="ar-SA"/>
        </w:rPr>
        <w:t>显微镜 1台</w:t>
      </w:r>
    </w:p>
    <w:p w14:paraId="10C7D261">
      <w:pPr>
        <w:rPr>
          <w:rFonts w:hint="default" w:ascii="仿宋" w:hAnsi="仿宋" w:eastAsia="仿宋" w:cs="仿宋"/>
          <w:b w:val="0"/>
          <w:bCs w:val="0"/>
          <w:color w:val="auto"/>
          <w:kern w:val="2"/>
          <w:sz w:val="24"/>
          <w:szCs w:val="24"/>
          <w:lang w:val="en-US" w:eastAsia="zh-CN" w:bidi="ar-SA"/>
        </w:rPr>
      </w:pPr>
    </w:p>
    <w:p w14:paraId="14C1A856">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4包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全自动医用PCR分析系统2</w:t>
      </w:r>
    </w:p>
    <w:p w14:paraId="7313A18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1、用途：主要用于分子POCT的结核分枝杆菌和利福平耐药基因检测</w:t>
      </w:r>
    </w:p>
    <w:p w14:paraId="32778EE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2、方法学：采用熔解曲线法进行利福平耐药基因的检测；</w:t>
      </w:r>
    </w:p>
    <w:p w14:paraId="12D71CD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▲3、各样本模块相互独立，互不干扰，样本运行后，其他检测单元可随时启动实验，实现不同样本、不同检测项目的随到随检；</w:t>
      </w:r>
    </w:p>
    <w:p w14:paraId="06AEADC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▲4、设备模块通量：≥4个（一体机、非矩阵级联），单次样本同时上机检测数量≥4份样本；</w:t>
      </w:r>
    </w:p>
    <w:p w14:paraId="7FB3E87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▲5、荧光检测通道：≥5个；</w:t>
      </w:r>
    </w:p>
    <w:p w14:paraId="43FE4E4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6、最大升温速率≥5℃/s；</w:t>
      </w:r>
    </w:p>
    <w:p w14:paraId="77499F8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7、最大降温速率≥3.5℃/s；</w:t>
      </w:r>
    </w:p>
    <w:p w14:paraId="3DFDBB6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8、设备触摸屏≥10.1英寸；</w:t>
      </w:r>
    </w:p>
    <w:p w14:paraId="6B15171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9、设备无需手工添加核酸提取及扩增试剂；</w:t>
      </w:r>
    </w:p>
    <w:p w14:paraId="46AE343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10、PCR扩增装置为薄片式反应腔或常规PCR八连排管，以提升升降温速率；</w:t>
      </w:r>
    </w:p>
    <w:p w14:paraId="4829192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11、检测时间：上机后经核酸提取、扩增、分析过程到获得结核分枝杆菌鉴定及利福平耐药检测结果时间≤150min；</w:t>
      </w:r>
    </w:p>
    <w:p w14:paraId="332480B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▲12、系统质控：试剂包含内标，全程参与提取与扩增过程，实现全流程质控，确保检测结果稳定可靠；</w:t>
      </w:r>
    </w:p>
    <w:p w14:paraId="27216BE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★13、仪器和结核分枝杆菌鉴定及利福平耐药检测试剂均需获得国家三类医疗器械注册证；</w:t>
      </w:r>
    </w:p>
    <w:p w14:paraId="51725B8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▲14、单款试剂（一个注册证号）同时具备结核分枝杆菌鉴定及利福平耐药检测功能；</w:t>
      </w:r>
    </w:p>
    <w:p w14:paraId="10205A43">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★15、结核分枝杆菌最低检出限：≤15 个菌/ml</w:t>
      </w:r>
      <w:r>
        <w:rPr>
          <w:rFonts w:hint="default" w:ascii="仿宋" w:hAnsi="仿宋" w:eastAsia="仿宋" w:cs="仿宋"/>
          <w:b/>
          <w:bCs/>
          <w:color w:val="auto"/>
          <w:kern w:val="2"/>
          <w:sz w:val="24"/>
          <w:szCs w:val="24"/>
          <w:lang w:val="en-US" w:eastAsia="zh-CN" w:bidi="ar-SA"/>
        </w:rPr>
        <w:t>；</w:t>
      </w:r>
    </w:p>
    <w:p w14:paraId="088AF81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16、设备为台式设计，设备高度≤650mm,可置于生物安全柜中，</w:t>
      </w:r>
    </w:p>
    <w:p w14:paraId="187F960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17、设备重量：≤50kg；</w:t>
      </w:r>
    </w:p>
    <w:p w14:paraId="094C2E6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18、通过条码扫描自动录入样本编号和卡盒编号，并识别试剂种类；</w:t>
      </w:r>
    </w:p>
    <w:p w14:paraId="2C830C3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19、具有LIS接口，能连接LIS系统；</w:t>
      </w:r>
    </w:p>
    <w:p w14:paraId="2206A98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20、数据导出：Excel或Txt格式，用户报告可直接打印或保存为PDF。</w:t>
      </w:r>
    </w:p>
    <w:p w14:paraId="7C4C1492">
      <w:pPr>
        <w:rPr>
          <w:rFonts w:hint="default" w:ascii="仿宋" w:hAnsi="仿宋" w:eastAsia="仿宋" w:cs="仿宋"/>
          <w:b w:val="0"/>
          <w:bCs w:val="0"/>
          <w:color w:val="auto"/>
          <w:kern w:val="2"/>
          <w:sz w:val="24"/>
          <w:szCs w:val="24"/>
          <w:lang w:val="en-US" w:eastAsia="zh-CN" w:bidi="ar-SA"/>
        </w:rPr>
      </w:pPr>
    </w:p>
    <w:p w14:paraId="637EB3FC">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5包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分枝杆菌培养鉴定药敏系统</w:t>
      </w:r>
    </w:p>
    <w:p w14:paraId="579B112D">
      <w:pPr>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一、</w:t>
      </w:r>
      <w:r>
        <w:rPr>
          <w:rFonts w:hint="default" w:ascii="仿宋" w:hAnsi="仿宋" w:eastAsia="仿宋" w:cs="仿宋"/>
          <w:b/>
          <w:bCs/>
          <w:color w:val="auto"/>
          <w:kern w:val="2"/>
          <w:sz w:val="24"/>
          <w:szCs w:val="24"/>
          <w:lang w:val="en-US" w:eastAsia="zh-CN" w:bidi="ar-SA"/>
        </w:rPr>
        <w:t>设备技术参数</w:t>
      </w:r>
    </w:p>
    <w:p w14:paraId="04B92F3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 可检测临床常见的分枝杆菌以及结核分枝杆菌</w:t>
      </w:r>
    </w:p>
    <w:p w14:paraId="13C559A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 检测原理：该产品基于荧光对氧含量敏感的反应原理，与配套的检测试剂共同用.若有分枝杆菌生长，管中的营养成分和氧气将不断地被消耗，培养管中的荧光显示剂将随着管内氧气浓度的变化而发生翻译并在特定光源的激活下释放荧光</w:t>
      </w:r>
    </w:p>
    <w:p w14:paraId="7A3906C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 可同时检测不少于 960 个样本</w:t>
      </w:r>
    </w:p>
    <w:p w14:paraId="321A90E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 硬件功能：内置电脑，图形操作界面，具备条码扫描功能，方便样本信息输入，设备具备打印功能，可直接打印出包括药敏实验的相关检测结果</w:t>
      </w:r>
    </w:p>
    <w:p w14:paraId="5F029A6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 开放的药敏检测系统，具备抗结核二线药药敏检测功能，根据临床或 WHO 对耐多药结核病治疗需求开展对德拉马尼、贝达奎宁等多种抗结核二线药、新药提供药敏液体培养检测</w:t>
      </w:r>
    </w:p>
    <w:p w14:paraId="6538B1C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 试剂盒：一线药敏实验试剂盒，包括五种药物（链霉素、异烟肼、利福平、乙胺丁醇、吡嗪酰胺）与八个浓度（链霉素、异烟肼和乙胺丁醇），试剂具备FDA</w:t>
      </w:r>
      <w:r>
        <w:rPr>
          <w:rFonts w:hint="eastAsia" w:ascii="仿宋" w:hAnsi="仿宋" w:eastAsia="仿宋" w:cs="仿宋"/>
          <w:b w:val="0"/>
          <w:bCs w:val="0"/>
          <w:color w:val="auto"/>
          <w:kern w:val="2"/>
          <w:sz w:val="24"/>
          <w:szCs w:val="24"/>
          <w:lang w:val="en-US" w:eastAsia="zh-CN" w:bidi="ar-SA"/>
        </w:rPr>
        <w:t>或</w:t>
      </w:r>
      <w:r>
        <w:rPr>
          <w:rFonts w:hint="default" w:ascii="仿宋" w:hAnsi="仿宋" w:eastAsia="仿宋" w:cs="仿宋"/>
          <w:b w:val="0"/>
          <w:bCs w:val="0"/>
          <w:color w:val="auto"/>
          <w:kern w:val="2"/>
          <w:sz w:val="24"/>
          <w:szCs w:val="24"/>
          <w:lang w:val="en-US" w:eastAsia="zh-CN" w:bidi="ar-SA"/>
        </w:rPr>
        <w:t>SFDA</w:t>
      </w:r>
      <w:r>
        <w:rPr>
          <w:rFonts w:hint="eastAsia" w:ascii="仿宋" w:hAnsi="仿宋" w:eastAsia="仿宋" w:cs="仿宋"/>
          <w:b w:val="0"/>
          <w:bCs w:val="0"/>
          <w:color w:val="auto"/>
          <w:kern w:val="2"/>
          <w:sz w:val="24"/>
          <w:szCs w:val="24"/>
          <w:lang w:val="en-US" w:eastAsia="zh-CN" w:bidi="ar-SA"/>
        </w:rPr>
        <w:t>或</w:t>
      </w:r>
      <w:r>
        <w:rPr>
          <w:rFonts w:hint="default" w:ascii="仿宋" w:hAnsi="仿宋" w:eastAsia="仿宋" w:cs="仿宋"/>
          <w:b w:val="0"/>
          <w:bCs w:val="0"/>
          <w:color w:val="auto"/>
          <w:kern w:val="2"/>
          <w:sz w:val="24"/>
          <w:szCs w:val="24"/>
          <w:lang w:val="en-US" w:eastAsia="zh-CN" w:bidi="ar-SA"/>
        </w:rPr>
        <w:t>CE注册证书。</w:t>
      </w:r>
    </w:p>
    <w:p w14:paraId="0A80F8C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 培养管：7ml 分枝杆菌培养管，材质为不易碎的塑料材质，增强实验过程中的安全性。管身具有螺纹盖，密闭效果好，可直接上机，增强实验过程中的安全性，避免职业暴露风险。</w:t>
      </w:r>
    </w:p>
    <w:p w14:paraId="6C83469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 5小时内重新放入功能：培养瓶取出 5 小时内再放入，所有数据不丢失，能继续检测，有效应对假阳性的发生</w:t>
      </w:r>
    </w:p>
    <w:p w14:paraId="4188F7A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 系统具有自动校正功能，无需人工进行检测校正。具有记录和分析连续动态结果功能。每1小时运行一次，确保结果的准确可靠</w:t>
      </w:r>
    </w:p>
    <w:p w14:paraId="7F0B26F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 xml:space="preserve">▲10 相关认证：仪器及培养瓶获得了 SFDA 的批准 </w:t>
      </w:r>
    </w:p>
    <w:p w14:paraId="4E7B12C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 LIS 连接：支持 LIS 联网可双向连接 LIS 系统，并支持连接微生物专业数据管理软件，能够实现实验数据库查询和筛选器报告的数据视图功能</w:t>
      </w:r>
    </w:p>
    <w:p w14:paraId="2A850429">
      <w:pPr>
        <w:rPr>
          <w:rFonts w:hint="default" w:ascii="仿宋" w:hAnsi="仿宋" w:eastAsia="仿宋" w:cs="仿宋"/>
          <w:b w:val="0"/>
          <w:bCs w:val="0"/>
          <w:color w:val="auto"/>
          <w:kern w:val="2"/>
          <w:sz w:val="24"/>
          <w:szCs w:val="24"/>
          <w:lang w:val="en-US" w:eastAsia="zh-CN" w:bidi="ar-SA"/>
        </w:rPr>
      </w:pPr>
    </w:p>
    <w:p w14:paraId="6390E5D5">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eastAsia" w:ascii="仿宋" w:hAnsi="仿宋" w:eastAsia="仿宋" w:cs="仿宋"/>
          <w:b w:val="0"/>
          <w:bCs w:val="0"/>
          <w:color w:val="auto"/>
          <w:kern w:val="2"/>
          <w:sz w:val="24"/>
          <w:szCs w:val="24"/>
          <w:lang w:val="en-US" w:eastAsia="zh-CN" w:bidi="ar-SA"/>
        </w:rPr>
        <w:t>二、</w:t>
      </w:r>
      <w:r>
        <w:rPr>
          <w:rFonts w:hint="eastAsia" w:ascii="仿宋" w:hAnsi="仿宋" w:eastAsia="仿宋" w:cs="仿宋"/>
          <w:b/>
          <w:bCs/>
          <w:color w:val="auto"/>
          <w:kern w:val="2"/>
          <w:sz w:val="24"/>
          <w:szCs w:val="24"/>
          <w:lang w:val="en-US" w:eastAsia="zh-CN" w:bidi="ar-SA"/>
        </w:rPr>
        <w:t>其它</w:t>
      </w:r>
      <w:r>
        <w:rPr>
          <w:rFonts w:hint="default" w:ascii="仿宋" w:hAnsi="仿宋" w:eastAsia="仿宋" w:cs="仿宋"/>
          <w:b/>
          <w:bCs/>
          <w:color w:val="auto"/>
          <w:kern w:val="2"/>
          <w:sz w:val="24"/>
          <w:szCs w:val="24"/>
          <w:lang w:val="en-US" w:eastAsia="zh-CN" w:bidi="ar-SA"/>
        </w:rPr>
        <w:t>配置：</w:t>
      </w:r>
    </w:p>
    <w:p w14:paraId="01ED8D7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1.大型低温低速离心机:容量750mL×4(转子50mL×4×6)</w:t>
      </w:r>
    </w:p>
    <w:p w14:paraId="691EE1D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en-US" w:eastAsia="zh-CN" w:bidi="ar-SA"/>
        </w:rPr>
        <w:t>免费</w:t>
      </w:r>
      <w:r>
        <w:rPr>
          <w:rFonts w:hint="default" w:ascii="仿宋" w:hAnsi="仿宋" w:eastAsia="仿宋" w:cs="仿宋"/>
          <w:b w:val="0"/>
          <w:bCs w:val="0"/>
          <w:color w:val="auto"/>
          <w:kern w:val="2"/>
          <w:sz w:val="24"/>
          <w:szCs w:val="24"/>
          <w:lang w:val="en-US" w:eastAsia="zh-CN" w:bidi="ar-SA"/>
        </w:rPr>
        <w:t>对接医院杏和LIS系统</w:t>
      </w:r>
    </w:p>
    <w:p w14:paraId="45196705">
      <w:pPr>
        <w:rPr>
          <w:rFonts w:hint="default" w:ascii="仿宋" w:hAnsi="仿宋" w:eastAsia="仿宋" w:cs="仿宋"/>
          <w:b w:val="0"/>
          <w:bCs w:val="0"/>
          <w:color w:val="auto"/>
          <w:kern w:val="2"/>
          <w:sz w:val="24"/>
          <w:szCs w:val="24"/>
          <w:lang w:val="en-US" w:eastAsia="zh-CN" w:bidi="ar-SA"/>
        </w:rPr>
      </w:pPr>
    </w:p>
    <w:p w14:paraId="41E50AED">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6包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全自动酶免分析仪</w:t>
      </w:r>
    </w:p>
    <w:p w14:paraId="3C664DEF">
      <w:pPr>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一、</w:t>
      </w:r>
      <w:r>
        <w:rPr>
          <w:rFonts w:hint="default" w:ascii="仿宋" w:hAnsi="仿宋" w:eastAsia="仿宋" w:cs="仿宋"/>
          <w:b/>
          <w:bCs/>
          <w:color w:val="auto"/>
          <w:kern w:val="2"/>
          <w:sz w:val="24"/>
          <w:szCs w:val="24"/>
          <w:lang w:val="en-US" w:eastAsia="zh-CN" w:bidi="ar-SA"/>
        </w:rPr>
        <w:t>技术参数：</w:t>
      </w:r>
    </w:p>
    <w:p w14:paraId="40396D2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总体要求：全自动完成各种实验的液体分配，如全自动完成ELISA实验，包括样本自动扫描、加样本（包括加样本及样本稀释）、加阴阳性对照、加质控品、加试剂、微板自动转移、振荡混匀、孵育、洗板、判读、结果分析。 加样、洗板、孵育、判读模块都是可以独立运行的。仪器顶部、底部及四周为全封闭结构，前部可开门，防尘防灰，确保生物安全。</w:t>
      </w:r>
    </w:p>
    <w:p w14:paraId="7289DAF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★2、加样通道：独立的加样通道为8个，任意通道Y(内外)方向移动时不干扰其他通道；使用白色透明的一次性加样吸头，容量≥1000ul，避免交叉污染，便于观察和监测加样过程。</w:t>
      </w:r>
    </w:p>
    <w:p w14:paraId="5AE603C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▲3、机械臂：2个独立的机械臂，可独立工作也可同步工作，工作中两个机械臂可分开间距≥900mm。</w:t>
      </w:r>
    </w:p>
    <w:p w14:paraId="35C6477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4、探测原理：具有液面探测和凝块检测报警功能，探测原理为压力感应式液面和凝块探测原理。</w:t>
      </w:r>
    </w:p>
    <w:p w14:paraId="5C00DF5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▲5、加样精密度：</w:t>
      </w:r>
    </w:p>
    <w:p w14:paraId="1930106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加样量为10ul时，精度（CV）≤3%，准确度±5%；</w:t>
      </w:r>
    </w:p>
    <w:p w14:paraId="1E8C23A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加样量为100ul时，精度（CV）≤1%，准确度±2.5%；</w:t>
      </w:r>
    </w:p>
    <w:p w14:paraId="0D5BFFB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加样量为1000ul时，精度（CV）≤0.8%，准确度±1%；</w:t>
      </w:r>
    </w:p>
    <w:p w14:paraId="4819BC4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6、分配速度：标本分配速度≤1分钟30秒/96孔板（并行分配8块微板的样本时）； 试剂分配速度≤1分钟20秒/96孔板。</w:t>
      </w:r>
    </w:p>
    <w:p w14:paraId="1ADF488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7、标本及微板位：可一次性装载上机≥190个原始试管及≥15块96孔微板。</w:t>
      </w:r>
    </w:p>
    <w:p w14:paraId="0AD810D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通用试剂位：通用试剂位≥21个，可同时摆放≥21种不同试剂。每个试剂位具备主动感应识别试剂的类型和位置功能，不需按固定位置摆放试剂，可在实验进行中动态更换试剂位置，仪器自动识别更换后位置。</w:t>
      </w:r>
    </w:p>
    <w:p w14:paraId="29BC280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9、专用试剂位：用于放置阴、阳性对照品及质控品原始试剂瓶，可同时装载≥40种试剂。</w:t>
      </w:r>
    </w:p>
    <w:p w14:paraId="0523DCB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10、软件：中文Windows 10或以上的操作系统，能和</w:t>
      </w:r>
      <w:r>
        <w:rPr>
          <w:rFonts w:hint="eastAsia" w:ascii="仿宋" w:hAnsi="仿宋" w:eastAsia="仿宋" w:cs="仿宋"/>
          <w:b w:val="0"/>
          <w:bCs w:val="0"/>
          <w:color w:val="auto"/>
          <w:kern w:val="2"/>
          <w:sz w:val="24"/>
          <w:szCs w:val="24"/>
          <w:lang w:val="en-US" w:eastAsia="zh-CN" w:bidi="ar-SA"/>
        </w:rPr>
        <w:t>医院</w:t>
      </w:r>
      <w:r>
        <w:rPr>
          <w:rFonts w:hint="default" w:ascii="仿宋" w:hAnsi="仿宋" w:eastAsia="仿宋" w:cs="仿宋"/>
          <w:b w:val="0"/>
          <w:bCs w:val="0"/>
          <w:color w:val="auto"/>
          <w:kern w:val="2"/>
          <w:sz w:val="24"/>
          <w:szCs w:val="24"/>
          <w:lang w:val="en-US" w:eastAsia="zh-CN" w:bidi="ar-SA"/>
        </w:rPr>
        <w:t>LIS系统连接，实现双向通讯；可对同一批上机检测的每个标本定义各自不同的检测项目，可实现双孔或多孔复查。</w:t>
      </w:r>
    </w:p>
    <w:p w14:paraId="0E1F8F1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 xml:space="preserve">11、条码扫描：具有标本条码扫描仪，在提交实验过程中自动扫描试管条码，不可使用手持式扫描枪扫描标本条码。可实现双向传输（仪器扫描直接关联LIS编号等）。 </w:t>
      </w:r>
    </w:p>
    <w:p w14:paraId="2C4CA33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12、振荡孵育模块数量：≥15个振荡孵育模块。微板从加样到孵育步骤不需移板，孵育时自动加盖密封孵育。振荡孵育模块具备同一块微板在避光孵育时，同时实现振荡功能，满足特殊ELISA试验所需。</w:t>
      </w:r>
    </w:p>
    <w:p w14:paraId="7C5BFFD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▲13、拥有≥3台独立的洗板机，≥3个洗板头（每台洗板机1个独立的洗板头）。洗板清洗残留液量≤1μ/孔。</w:t>
      </w:r>
    </w:p>
    <w:p w14:paraId="1ABF471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 xml:space="preserve">▲14、酶标仪：酶标仪及设备整机为同一厂家生产，便于设备的维护；有独立操作软件，可以脱离主系统软件单独使用。采用LED光源，LED光源数量≥4个，每个波长的滤光片配置对应一个独立的LED光源。≥8个测量通道，可单、双波长判读。至少配置405nm、450nm、492nm、630nm四种滤光片。  </w:t>
      </w:r>
    </w:p>
    <w:p w14:paraId="6D18FC0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15、报警：具备声、光报警的双重报警系统功能，灯光报警使用专用警示灯，非开关按钮指示灯或照明灯。</w:t>
      </w:r>
    </w:p>
    <w:p w14:paraId="55B891F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16、工作台：仪器具备配套的工作台底座。</w:t>
      </w:r>
    </w:p>
    <w:p w14:paraId="3406E9D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17、使用期限：设备使用期限≥10年。</w:t>
      </w:r>
    </w:p>
    <w:p w14:paraId="419990FF">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eastAsia" w:ascii="仿宋" w:hAnsi="仿宋" w:eastAsia="仿宋" w:cs="仿宋"/>
          <w:b w:val="0"/>
          <w:bCs w:val="0"/>
          <w:color w:val="auto"/>
          <w:kern w:val="2"/>
          <w:sz w:val="24"/>
          <w:szCs w:val="24"/>
          <w:lang w:val="en-US" w:eastAsia="zh-CN" w:bidi="ar-SA"/>
        </w:rPr>
        <w:t>二、</w:t>
      </w:r>
      <w:r>
        <w:rPr>
          <w:rFonts w:hint="eastAsia" w:ascii="仿宋" w:hAnsi="仿宋" w:eastAsia="仿宋" w:cs="仿宋"/>
          <w:b/>
          <w:bCs/>
          <w:color w:val="auto"/>
          <w:kern w:val="2"/>
          <w:sz w:val="24"/>
          <w:szCs w:val="24"/>
          <w:lang w:val="en-US" w:eastAsia="zh-CN" w:bidi="ar-SA"/>
        </w:rPr>
        <w:t>其它</w:t>
      </w:r>
      <w:r>
        <w:rPr>
          <w:rFonts w:hint="default" w:ascii="仿宋" w:hAnsi="仿宋" w:eastAsia="仿宋" w:cs="仿宋"/>
          <w:b/>
          <w:bCs/>
          <w:color w:val="auto"/>
          <w:kern w:val="2"/>
          <w:sz w:val="24"/>
          <w:szCs w:val="24"/>
          <w:lang w:val="en-US" w:eastAsia="zh-CN" w:bidi="ar-SA"/>
        </w:rPr>
        <w:t>配置：</w:t>
      </w:r>
    </w:p>
    <w:p w14:paraId="1506663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1、96孔（5-7ml采血管）低速离心机    1台</w:t>
      </w:r>
    </w:p>
    <w:p w14:paraId="2032E918">
      <w:pPr>
        <w:numPr>
          <w:ilvl w:val="0"/>
          <w:numId w:val="0"/>
        </w:num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w:t>
      </w:r>
      <w:r>
        <w:rPr>
          <w:rFonts w:hint="default" w:ascii="仿宋" w:hAnsi="仿宋" w:eastAsia="仿宋" w:cs="仿宋"/>
          <w:b w:val="0"/>
          <w:bCs w:val="0"/>
          <w:color w:val="auto"/>
          <w:kern w:val="2"/>
          <w:sz w:val="24"/>
          <w:szCs w:val="24"/>
          <w:lang w:val="en-US" w:eastAsia="zh-CN" w:bidi="ar-SA"/>
        </w:rPr>
        <w:t>电热恒温箱</w:t>
      </w:r>
      <w:r>
        <w:rPr>
          <w:rFonts w:hint="eastAsia" w:ascii="仿宋" w:hAnsi="仿宋" w:eastAsia="仿宋" w:cs="仿宋"/>
          <w:b w:val="0"/>
          <w:bCs w:val="0"/>
          <w:color w:val="auto"/>
          <w:kern w:val="2"/>
          <w:sz w:val="24"/>
          <w:szCs w:val="24"/>
          <w:lang w:val="en-US" w:eastAsia="zh-CN" w:bidi="ar-SA"/>
        </w:rPr>
        <w:t>（160L）</w:t>
      </w:r>
      <w:r>
        <w:rPr>
          <w:rFonts w:hint="default" w:ascii="仿宋" w:hAnsi="仿宋" w:eastAsia="仿宋" w:cs="仿宋"/>
          <w:b w:val="0"/>
          <w:bCs w:val="0"/>
          <w:color w:val="auto"/>
          <w:kern w:val="2"/>
          <w:sz w:val="24"/>
          <w:szCs w:val="24"/>
          <w:lang w:val="en-US" w:eastAsia="zh-CN" w:bidi="ar-SA"/>
        </w:rPr>
        <w:t xml:space="preserve">   1台</w:t>
      </w:r>
    </w:p>
    <w:p w14:paraId="06F9BF34">
      <w:pPr>
        <w:numPr>
          <w:ilvl w:val="0"/>
          <w:numId w:val="0"/>
        </w:numPr>
        <w:rPr>
          <w:rFonts w:hint="default" w:ascii="仿宋" w:hAnsi="仿宋" w:eastAsia="仿宋" w:cs="仿宋"/>
          <w:b w:val="0"/>
          <w:bCs w:val="0"/>
          <w:color w:val="auto"/>
          <w:kern w:val="2"/>
          <w:sz w:val="24"/>
          <w:szCs w:val="24"/>
          <w:lang w:val="en-US" w:eastAsia="zh-CN" w:bidi="ar-SA"/>
        </w:rPr>
      </w:pPr>
    </w:p>
    <w:p w14:paraId="44E4B712">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7包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全自动血液分析流水线2</w:t>
      </w:r>
    </w:p>
    <w:p w14:paraId="022A018F">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一、全自动模块式血液体液分析模块</w:t>
      </w:r>
    </w:p>
    <w:p w14:paraId="260A150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1、仪器组成：由2个血液体液分析模块、1个推片染色机模块通过轨道连接组成 ；</w:t>
      </w:r>
    </w:p>
    <w:p w14:paraId="3ACEF71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2、测试项目：血液测试≥41项报告参数，提供5个散点图；体液测试7项参数，1个散点图和1个直方图；同时具有病理学和形态学异常情况报警提示功能， 单模块可同时检测CRP/SAA；</w:t>
      </w:r>
    </w:p>
    <w:p w14:paraId="69B46EB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★3、单模块测试速度：血常规速度≥120样本/小时；体液模式速度≥40样本/小时；</w:t>
      </w:r>
    </w:p>
    <w:p w14:paraId="5AF3199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4、检测原理  半导体激光流式细胞技术结合核酸荧光染色技术；鞘流电阻抗法； 比色法、胶乳增强免疫散射比浊法；</w:t>
      </w:r>
    </w:p>
    <w:p w14:paraId="317BD69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★5、样本用量血常规自动模式≤85μ1、预稀释模式≤20μ1；</w:t>
      </w:r>
    </w:p>
    <w:p w14:paraId="66D409D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6、低值白细胞检测功能  如遇白细胞低值时自动增加计数颗粒数量来保证结果的准确；</w:t>
      </w:r>
    </w:p>
    <w:p w14:paraId="3347F0E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7、研究性参数≥53个，全血43个，体液10个，包含感染红细胞数目及千分比，小红细胞、大红细胞等参数的数目及比例；</w:t>
      </w:r>
    </w:p>
    <w:p w14:paraId="31ADEA9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8、进样方式  全自动进样装置，静脉血和微量血均可自动批量进样或封闭进样， 且一次性放置样本≥50个样本，可连续添加样本不停机。</w:t>
      </w:r>
    </w:p>
    <w:p w14:paraId="28E5871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▲9、操作方式  主机自带≥10英寸彩色液晶触摸屏，配备原厂中文报告及数据处理系统；</w:t>
      </w:r>
    </w:p>
    <w:p w14:paraId="6A7BCA0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10、具有全自动体液(含脑脊液、胸水、腹水、关节液等体液)细胞计数和对体液中的白细胞进行分类的功能；具有通过高荧光体液细胞参数对肿瘤细胞进行提示功能 ；</w:t>
      </w:r>
    </w:p>
    <w:p w14:paraId="28C06DC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▲11、微量血自动批量检测模式支持以下功能：自动扫码、自动进样、自动混匀、 异常标本自动回退复检；自动混匀功能可适配所有市场上主流微量血采血管；</w:t>
      </w:r>
    </w:p>
    <w:p w14:paraId="32D06A8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12、复检方式含堵孔重测， WBC低值重测和PLT异常值重测，可设置复检阈值和复检模式，具有自动回退复检功能；</w:t>
      </w:r>
    </w:p>
    <w:p w14:paraId="740822B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13、预约开关机 定时开关机，开机可设置起始样本模式和起始样本号；</w:t>
      </w:r>
    </w:p>
    <w:p w14:paraId="18BA2B1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14、条码扫描 配有条码阅读器接口，具有条码识别功能；</w:t>
      </w:r>
    </w:p>
    <w:p w14:paraId="4226354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15、质控方法 包含L-J、Xbar、Xbar-R、X-B等至少四种质控方式；</w:t>
      </w:r>
    </w:p>
    <w:p w14:paraId="1E4008E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▲16、存储样本量  ≥200000个样本存储(包括直方图),并可按病人信息及时间段检索，打印；</w:t>
      </w:r>
    </w:p>
    <w:p w14:paraId="6BCDC97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17、供应商能提供配套的NMPA注册的质控品和校准品，并提供校准品溯源性文件。</w:t>
      </w:r>
    </w:p>
    <w:p w14:paraId="7089EA64">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二、推片染色模块</w:t>
      </w:r>
    </w:p>
    <w:p w14:paraId="37704B9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1、速度： 制片速度≥120片/小时；</w:t>
      </w:r>
    </w:p>
    <w:p w14:paraId="3C33EAC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2、吸样量：全血≤200μL、体液≤200μL;</w:t>
      </w:r>
    </w:p>
    <w:p w14:paraId="5F7BE27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3、制片模式≥2种： 推片、推片+染色；</w:t>
      </w:r>
    </w:p>
    <w:p w14:paraId="79C1A8C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4、打印设置：可直接在玻片上打印数字、 一维码和二维码；</w:t>
      </w:r>
    </w:p>
    <w:p w14:paraId="5EF70722">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三</w:t>
      </w:r>
      <w:r>
        <w:rPr>
          <w:rFonts w:hint="eastAsia" w:ascii="仿宋" w:hAnsi="仿宋" w:eastAsia="仿宋" w:cs="仿宋"/>
          <w:b w:val="0"/>
          <w:bCs w:val="0"/>
          <w:color w:val="auto"/>
          <w:kern w:val="2"/>
          <w:sz w:val="24"/>
          <w:szCs w:val="24"/>
          <w:lang w:val="en-US" w:eastAsia="zh-CN" w:bidi="ar-SA"/>
        </w:rPr>
        <w:t>、</w:t>
      </w:r>
      <w:r>
        <w:rPr>
          <w:rFonts w:hint="eastAsia" w:ascii="仿宋" w:hAnsi="仿宋" w:eastAsia="仿宋" w:cs="仿宋"/>
          <w:b/>
          <w:bCs/>
          <w:color w:val="auto"/>
          <w:kern w:val="2"/>
          <w:sz w:val="24"/>
          <w:szCs w:val="24"/>
          <w:lang w:val="en-US" w:eastAsia="zh-CN" w:bidi="ar-SA"/>
        </w:rPr>
        <w:t>其它</w:t>
      </w:r>
      <w:r>
        <w:rPr>
          <w:rFonts w:hint="default" w:ascii="仿宋" w:hAnsi="仿宋" w:eastAsia="仿宋" w:cs="仿宋"/>
          <w:b/>
          <w:bCs/>
          <w:color w:val="auto"/>
          <w:kern w:val="2"/>
          <w:sz w:val="24"/>
          <w:szCs w:val="24"/>
          <w:lang w:val="en-US" w:eastAsia="zh-CN" w:bidi="ar-SA"/>
        </w:rPr>
        <w:t>配置</w:t>
      </w:r>
      <w:r>
        <w:rPr>
          <w:rFonts w:hint="eastAsia" w:ascii="仿宋" w:hAnsi="仿宋" w:eastAsia="仿宋" w:cs="仿宋"/>
          <w:b/>
          <w:bCs/>
          <w:color w:val="auto"/>
          <w:kern w:val="2"/>
          <w:sz w:val="24"/>
          <w:szCs w:val="24"/>
          <w:lang w:val="en-US" w:eastAsia="zh-CN" w:bidi="ar-SA"/>
        </w:rPr>
        <w:t>：</w:t>
      </w:r>
    </w:p>
    <w:p w14:paraId="6E110B6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1、96孔（5-7ml采血管）低速离心机：1台；</w:t>
      </w:r>
    </w:p>
    <w:p w14:paraId="26898C50">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w:t>
      </w:r>
      <w:r>
        <w:rPr>
          <w:rFonts w:hint="default" w:ascii="仿宋" w:hAnsi="仿宋" w:eastAsia="仿宋" w:cs="仿宋"/>
          <w:b w:val="0"/>
          <w:bCs w:val="0"/>
          <w:color w:val="auto"/>
          <w:kern w:val="2"/>
          <w:sz w:val="24"/>
          <w:szCs w:val="24"/>
          <w:lang w:val="en-US" w:eastAsia="zh-CN" w:bidi="ar-SA"/>
        </w:rPr>
        <w:t>、32-48孔（5-7ml采血管）低速低温离心机1台；</w:t>
      </w:r>
    </w:p>
    <w:p w14:paraId="7B219B05">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w:t>
      </w:r>
      <w:r>
        <w:rPr>
          <w:rFonts w:hint="default" w:ascii="仿宋" w:hAnsi="仿宋" w:eastAsia="仿宋" w:cs="仿宋"/>
          <w:b w:val="0"/>
          <w:bCs w:val="0"/>
          <w:color w:val="auto"/>
          <w:kern w:val="2"/>
          <w:sz w:val="24"/>
          <w:szCs w:val="24"/>
          <w:lang w:val="en-US" w:eastAsia="zh-CN" w:bidi="ar-SA"/>
        </w:rPr>
        <w:t>、24孔高速离心机1台；</w:t>
      </w:r>
    </w:p>
    <w:p w14:paraId="1C2CCDAD">
      <w:pPr>
        <w:numPr>
          <w:ilvl w:val="0"/>
          <w:numId w:val="0"/>
        </w:num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4、光学显</w:t>
      </w:r>
      <w:r>
        <w:rPr>
          <w:rFonts w:hint="default" w:ascii="仿宋" w:hAnsi="仿宋" w:eastAsia="仿宋" w:cs="仿宋"/>
          <w:b w:val="0"/>
          <w:bCs w:val="0"/>
          <w:color w:val="auto"/>
          <w:kern w:val="2"/>
          <w:sz w:val="24"/>
          <w:szCs w:val="24"/>
          <w:lang w:val="en-US" w:eastAsia="zh-CN" w:bidi="ar-SA"/>
        </w:rPr>
        <w:t>微镜 1台。</w:t>
      </w:r>
    </w:p>
    <w:p w14:paraId="70CABD75">
      <w:pPr>
        <w:numPr>
          <w:ilvl w:val="0"/>
          <w:numId w:val="0"/>
        </w:numPr>
        <w:rPr>
          <w:rFonts w:hint="default" w:ascii="仿宋" w:hAnsi="仿宋" w:eastAsia="仿宋" w:cs="仿宋"/>
          <w:b w:val="0"/>
          <w:bCs w:val="0"/>
          <w:color w:val="auto"/>
          <w:kern w:val="2"/>
          <w:sz w:val="24"/>
          <w:szCs w:val="24"/>
          <w:lang w:val="en-US" w:eastAsia="zh-CN" w:bidi="ar-SA"/>
        </w:rPr>
      </w:pPr>
    </w:p>
    <w:p w14:paraId="672F7077">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8包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全自动微生物质谱检测系统</w:t>
      </w:r>
    </w:p>
    <w:p w14:paraId="04854FCD">
      <w:pPr>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一、</w:t>
      </w:r>
      <w:r>
        <w:rPr>
          <w:rFonts w:hint="default" w:ascii="仿宋" w:hAnsi="仿宋" w:eastAsia="仿宋" w:cs="仿宋"/>
          <w:b/>
          <w:bCs/>
          <w:color w:val="auto"/>
          <w:kern w:val="2"/>
          <w:sz w:val="24"/>
          <w:szCs w:val="24"/>
          <w:lang w:val="en-US" w:eastAsia="zh-CN" w:bidi="ar-SA"/>
        </w:rPr>
        <w:t>全自动微生物质谱检测系统技术参数</w:t>
      </w:r>
    </w:p>
    <w:p w14:paraId="1141799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1.设备主要用途及基本要求：所投标质谱仪为桌面台式机，应用范围应包括对细菌、真菌的鉴定；可进行不同种类的化合物研究，包括蛋白质、核酸、脂质等样本。</w:t>
      </w:r>
    </w:p>
    <w:p w14:paraId="48F4745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2.硬件性能规格要求：</w:t>
      </w:r>
      <w:r>
        <w:rPr>
          <w:rFonts w:hint="default" w:ascii="仿宋" w:hAnsi="仿宋" w:eastAsia="仿宋" w:cs="仿宋"/>
          <w:b w:val="0"/>
          <w:bCs w:val="0"/>
          <w:color w:val="auto"/>
          <w:kern w:val="2"/>
          <w:sz w:val="24"/>
          <w:szCs w:val="24"/>
          <w:lang w:val="en-US" w:eastAsia="zh-CN" w:bidi="ar-SA"/>
        </w:rPr>
        <w:tab/>
      </w:r>
    </w:p>
    <w:p w14:paraId="0FCD87F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2.1 飞行管：采用直线形不锈钢飞行管，飞行距离≥1米；投标时提供产品实物测量图，具备温度补偿功能，消除环境温度变化对蛋白质量检测准确度的影响；投标时提供第三方检测报告；</w:t>
      </w:r>
    </w:p>
    <w:p w14:paraId="2E98382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★2.2 检测器：配置MCP检测器，检测微通道数≥10万，提供MCP检测器生产厂商说明书；</w:t>
      </w:r>
    </w:p>
    <w:p w14:paraId="1565D30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▲2.3 激光器：配置长寿命固体激光器，频率在1-2000Hz范围内可调，功率衰减小（激光发射次数不低于9*10^9次）;提供仪器内部照片及产品规格书</w:t>
      </w:r>
      <w:r>
        <w:rPr>
          <w:rFonts w:hint="eastAsia" w:ascii="仿宋" w:hAnsi="仿宋" w:eastAsia="仿宋" w:cs="仿宋"/>
          <w:b w:val="0"/>
          <w:bCs w:val="0"/>
          <w:color w:val="auto"/>
          <w:kern w:val="2"/>
          <w:sz w:val="24"/>
          <w:szCs w:val="24"/>
          <w:lang w:val="en-US" w:eastAsia="zh-CN" w:bidi="ar-SA"/>
        </w:rPr>
        <w:t>；</w:t>
      </w:r>
    </w:p>
    <w:p w14:paraId="10350B2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▲2.4真空系统：前级泵应为内置无油隔膜泵，无机油污染，维护时无需添加或更换机油，提供内置无油隔膜泵安装在仪器内部的图片及中文技术说明书；</w:t>
      </w:r>
    </w:p>
    <w:p w14:paraId="54C5DF7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▲2.5分子泵为复合型涡轮分子泵，具有叶片级和拖拽级，拖拽级≥10 L/S,分子泵抽速≥300 L/S；提供所配置分子泵拖拽级结构图和技术说明书；</w:t>
      </w:r>
    </w:p>
    <w:p w14:paraId="6EB5B1E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2.6 负离子检测功能：配备负离子检测模块，可进行脂质分析，可检测大肠杆菌脂质A（m/z1796），相对示值误差≤500ppm；投标时提供第三方检测机构出具的检测报告；</w:t>
      </w:r>
    </w:p>
    <w:p w14:paraId="44C4B5A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2.7应急检测能力：质谱仪从样品靶板放入质谱仪后到真空抽到3×10-6mbar以下所需时间＜50s；</w:t>
      </w:r>
    </w:p>
    <w:p w14:paraId="28E52BFB">
      <w:pPr>
        <w:rPr>
          <w:rFonts w:hint="eastAsia"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▲2.8 应急车载使用：设备需为桌面台式机型，1150mm≤高度≤1400mm</w:t>
      </w:r>
      <w:r>
        <w:rPr>
          <w:rFonts w:hint="eastAsia" w:ascii="仿宋" w:hAnsi="仿宋" w:eastAsia="仿宋" w:cs="仿宋"/>
          <w:b w:val="0"/>
          <w:bCs w:val="0"/>
          <w:color w:val="auto"/>
          <w:kern w:val="2"/>
          <w:sz w:val="24"/>
          <w:szCs w:val="24"/>
          <w:lang w:val="en-US" w:eastAsia="zh-CN" w:bidi="ar-SA"/>
        </w:rPr>
        <w:t>；</w:t>
      </w:r>
    </w:p>
    <w:p w14:paraId="7900A4D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3、软件系统要求</w:t>
      </w:r>
    </w:p>
    <w:p w14:paraId="67B2B33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3.1采集及鉴定软件：全中文集成软件，支持单界面完成从谱图采集到鉴定报告生成的全流程操作，鉴定结果微生物名称中文和拉丁文同时给出，无需切换。</w:t>
      </w:r>
    </w:p>
    <w:p w14:paraId="5B11D3B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3.2生物安全风险提示：为保证生物安全风险，对于布鲁氏菌、脑膜炎奈瑟菌等软件具有高危致病菌标识；</w:t>
      </w:r>
    </w:p>
    <w:p w14:paraId="2CE4D4EF">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▲3.3鉴定结果：标配检索鉴定软件给出质谱鉴定结果的同时还可给出国家级出版社提供的的微生物形态学（平板菌落图及染色图）形态图，以辅助对鉴定结果进行判读，无需联网；</w:t>
      </w:r>
    </w:p>
    <w:p w14:paraId="3B30777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3.4微生物知识库：软件配套专业微生物知识库，包含菌种的形态学、生物特性、核糖体蛋白信息等，支持用户上传形态图，为实验室检测提供参考依据，提供软件界面截图。</w:t>
      </w:r>
    </w:p>
    <w:p w14:paraId="4702BB2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3.5智能分型功能：能通过智能算法，对系统进行大样本量训练，构建微生物鉴定区分模型，进行李斯特复合群鉴定。</w:t>
      </w:r>
    </w:p>
    <w:p w14:paraId="010E535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4.数据库：具备细菌蛋白指纹图谱数据库和细菌DNA预测蛋白图谱数据库“双鉴定系统”，支持双鉴定系统结果交叉复核，比对结果一致性，保证报告准确性，数据库升级</w:t>
      </w:r>
      <w:r>
        <w:rPr>
          <w:rFonts w:hint="eastAsia" w:ascii="仿宋" w:hAnsi="仿宋" w:eastAsia="仿宋" w:cs="仿宋"/>
          <w:b w:val="0"/>
          <w:bCs w:val="0"/>
          <w:color w:val="auto"/>
          <w:kern w:val="2"/>
          <w:sz w:val="24"/>
          <w:szCs w:val="24"/>
          <w:lang w:val="en-US" w:eastAsia="zh-CN" w:bidi="ar-SA"/>
        </w:rPr>
        <w:t>费用包含在设备采购价中</w:t>
      </w:r>
      <w:r>
        <w:rPr>
          <w:rFonts w:hint="default" w:ascii="仿宋" w:hAnsi="仿宋" w:eastAsia="仿宋" w:cs="仿宋"/>
          <w:b w:val="0"/>
          <w:bCs w:val="0"/>
          <w:color w:val="auto"/>
          <w:kern w:val="2"/>
          <w:sz w:val="24"/>
          <w:szCs w:val="24"/>
          <w:lang w:val="en-US" w:eastAsia="zh-CN" w:bidi="ar-SA"/>
        </w:rPr>
        <w:t>；</w:t>
      </w:r>
    </w:p>
    <w:p w14:paraId="4C8F337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★4.1蛋白指纹图谱数据库：必须具备本地微生物菌种数据库，鉴定菌种 5000 种以上,包括苛氧菌、厌氧菌、分枝杆菌等传统方法难以鉴定的疑难菌种；</w:t>
      </w:r>
    </w:p>
    <w:p w14:paraId="3D9BAC4F">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4.2丝状真菌数据库丝状真菌数据库＞500种，菌种鉴定属正确率大于95%，提供同系列质谱仪文献佐证</w:t>
      </w:r>
      <w:r>
        <w:rPr>
          <w:rFonts w:hint="default" w:ascii="仿宋" w:hAnsi="仿宋" w:eastAsia="仿宋" w:cs="仿宋"/>
          <w:b/>
          <w:bCs/>
          <w:color w:val="auto"/>
          <w:kern w:val="2"/>
          <w:sz w:val="24"/>
          <w:szCs w:val="24"/>
          <w:lang w:val="en-US" w:eastAsia="zh-CN" w:bidi="ar-SA"/>
        </w:rPr>
        <w:t>；</w:t>
      </w:r>
    </w:p>
    <w:p w14:paraId="43F8115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4.3 特色数据库：具备20种以上施万菌数据库；分枝杆菌数据库≥170种；</w:t>
      </w:r>
    </w:p>
    <w:p w14:paraId="06C8D76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4.4细菌DNA预测蛋白图谱数据库：采用无实物菌株建库，基于全球菌株基因组信息建立，数据库＞10000种，全面覆盖临床诊断、食品安全、环境监测、工业生物技术、农业生产、畜牧兽医、药品等领域；</w:t>
      </w:r>
    </w:p>
    <w:p w14:paraId="160AA34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4.5 微生物亲缘关系智能分析功能：具备微生物亲缘关系智能分析功能，在报告鉴定结果的同时，能够自动生成直观的圆形聚类图，展示不同菌株间的遗传距离，提供软件界面截图。</w:t>
      </w:r>
    </w:p>
    <w:p w14:paraId="285C554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5.测性能</w:t>
      </w:r>
      <w:r>
        <w:rPr>
          <w:rFonts w:hint="default" w:ascii="仿宋" w:hAnsi="仿宋" w:eastAsia="仿宋" w:cs="仿宋"/>
          <w:b w:val="0"/>
          <w:bCs w:val="0"/>
          <w:color w:val="auto"/>
          <w:kern w:val="2"/>
          <w:sz w:val="24"/>
          <w:szCs w:val="24"/>
          <w:lang w:val="en-US" w:eastAsia="zh-CN" w:bidi="ar-SA"/>
        </w:rPr>
        <w:tab/>
      </w:r>
    </w:p>
    <w:p w14:paraId="7B2E2A6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5.1鉴定质量范围</w:t>
      </w:r>
      <w:r>
        <w:rPr>
          <w:rFonts w:hint="default" w:ascii="仿宋" w:hAnsi="仿宋" w:eastAsia="仿宋" w:cs="仿宋"/>
          <w:b w:val="0"/>
          <w:bCs w:val="0"/>
          <w:color w:val="auto"/>
          <w:kern w:val="2"/>
          <w:sz w:val="24"/>
          <w:szCs w:val="24"/>
          <w:lang w:val="en-US" w:eastAsia="zh-CN" w:bidi="ar-SA"/>
        </w:rPr>
        <w:tab/>
      </w:r>
      <w:r>
        <w:rPr>
          <w:rFonts w:hint="default" w:ascii="仿宋" w:hAnsi="仿宋" w:eastAsia="仿宋" w:cs="仿宋"/>
          <w:b w:val="0"/>
          <w:bCs w:val="0"/>
          <w:color w:val="auto"/>
          <w:kern w:val="2"/>
          <w:sz w:val="24"/>
          <w:szCs w:val="24"/>
          <w:lang w:val="en-US" w:eastAsia="zh-CN" w:bidi="ar-SA"/>
        </w:rPr>
        <w:t>1-500kDa；</w:t>
      </w:r>
    </w:p>
    <w:p w14:paraId="73D7715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▲5.2质量分辨率</w:t>
      </w:r>
      <w:r>
        <w:rPr>
          <w:rFonts w:hint="default" w:ascii="仿宋" w:hAnsi="仿宋" w:eastAsia="仿宋" w:cs="仿宋"/>
          <w:b w:val="0"/>
          <w:bCs w:val="0"/>
          <w:color w:val="auto"/>
          <w:kern w:val="2"/>
          <w:sz w:val="24"/>
          <w:szCs w:val="24"/>
          <w:lang w:val="en-US" w:eastAsia="zh-CN" w:bidi="ar-SA"/>
        </w:rPr>
        <w:tab/>
      </w:r>
      <w:r>
        <w:rPr>
          <w:rFonts w:hint="default" w:ascii="仿宋" w:hAnsi="仿宋" w:eastAsia="仿宋" w:cs="仿宋"/>
          <w:b w:val="0"/>
          <w:bCs w:val="0"/>
          <w:color w:val="auto"/>
          <w:kern w:val="2"/>
          <w:sz w:val="24"/>
          <w:szCs w:val="24"/>
          <w:lang w:val="en-US" w:eastAsia="zh-CN" w:bidi="ar-SA"/>
        </w:rPr>
        <w:t>&gt;5000(FWHM)@ Angiotensin；</w:t>
      </w:r>
    </w:p>
    <w:p w14:paraId="3311A22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5.3鉴定灵敏度</w:t>
      </w:r>
      <w:r>
        <w:rPr>
          <w:rFonts w:hint="default" w:ascii="仿宋" w:hAnsi="仿宋" w:eastAsia="仿宋" w:cs="仿宋"/>
          <w:b w:val="0"/>
          <w:bCs w:val="0"/>
          <w:color w:val="auto"/>
          <w:kern w:val="2"/>
          <w:sz w:val="24"/>
          <w:szCs w:val="24"/>
          <w:lang w:val="en-US" w:eastAsia="zh-CN" w:bidi="ar-SA"/>
        </w:rPr>
        <w:tab/>
      </w:r>
      <w:r>
        <w:rPr>
          <w:rFonts w:hint="default" w:ascii="仿宋" w:hAnsi="仿宋" w:eastAsia="仿宋" w:cs="仿宋"/>
          <w:b w:val="0"/>
          <w:bCs w:val="0"/>
          <w:color w:val="auto"/>
          <w:kern w:val="2"/>
          <w:sz w:val="24"/>
          <w:szCs w:val="24"/>
          <w:lang w:val="en-US" w:eastAsia="zh-CN" w:bidi="ar-SA"/>
        </w:rPr>
        <w:t>1 fmol/uL 人纤维蛋白肽B（信噪比≥10∶1）</w:t>
      </w:r>
    </w:p>
    <w:p w14:paraId="7D92C78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5.4质量准确度</w:t>
      </w:r>
      <w:r>
        <w:rPr>
          <w:rFonts w:hint="default" w:ascii="仿宋" w:hAnsi="仿宋" w:eastAsia="仿宋" w:cs="仿宋"/>
          <w:b w:val="0"/>
          <w:bCs w:val="0"/>
          <w:color w:val="auto"/>
          <w:kern w:val="2"/>
          <w:sz w:val="24"/>
          <w:szCs w:val="24"/>
          <w:lang w:val="en-US" w:eastAsia="zh-CN" w:bidi="ar-SA"/>
        </w:rPr>
        <w:tab/>
      </w:r>
      <w:r>
        <w:rPr>
          <w:rFonts w:hint="default" w:ascii="仿宋" w:hAnsi="仿宋" w:eastAsia="仿宋" w:cs="仿宋"/>
          <w:b w:val="0"/>
          <w:bCs w:val="0"/>
          <w:color w:val="auto"/>
          <w:kern w:val="2"/>
          <w:sz w:val="24"/>
          <w:szCs w:val="24"/>
          <w:lang w:val="en-US" w:eastAsia="zh-CN" w:bidi="ar-SA"/>
        </w:rPr>
        <w:t>≤ 150 ppm (外校准) 质量准确度：≤100ppm （内校准）。</w:t>
      </w:r>
    </w:p>
    <w:p w14:paraId="423500F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6.相关试剂耗材</w:t>
      </w:r>
      <w:r>
        <w:rPr>
          <w:rFonts w:hint="default" w:ascii="仿宋" w:hAnsi="仿宋" w:eastAsia="仿宋" w:cs="仿宋"/>
          <w:b w:val="0"/>
          <w:bCs w:val="0"/>
          <w:color w:val="auto"/>
          <w:kern w:val="2"/>
          <w:sz w:val="24"/>
          <w:szCs w:val="24"/>
          <w:lang w:val="en-US" w:eastAsia="zh-CN" w:bidi="ar-SA"/>
        </w:rPr>
        <w:tab/>
      </w:r>
    </w:p>
    <w:p w14:paraId="5703DDE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6.1 前处理试剂：配套同品牌微生物质谱基质试剂盒、血培养阳性样本质谱鉴定前处理试剂、霉菌样本预处理试剂盒及同品牌校准品，均取得临床注册证；</w:t>
      </w:r>
    </w:p>
    <w:p w14:paraId="5521E9B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6.2 靶板：可提供同品牌一次性硅基靶板和重复使用不锈钢靶板（提供医疗器械注册证明），重复性靶板为一体式靶板，具备激光彩印条码。一体式靶板靶面精度2微米，确保高平整度且表面经镜面抛光处理，具有易于清洗、无残留的特性（提供靶板图片证明）</w:t>
      </w:r>
      <w:r>
        <w:rPr>
          <w:rFonts w:hint="default" w:ascii="仿宋" w:hAnsi="仿宋" w:eastAsia="仿宋" w:cs="仿宋"/>
          <w:b/>
          <w:bCs/>
          <w:color w:val="auto"/>
          <w:kern w:val="2"/>
          <w:sz w:val="24"/>
          <w:szCs w:val="24"/>
          <w:lang w:val="en-US" w:eastAsia="zh-CN" w:bidi="ar-SA"/>
        </w:rPr>
        <w:t>。</w:t>
      </w:r>
    </w:p>
    <w:p w14:paraId="53F2D970">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二、</w:t>
      </w:r>
      <w:r>
        <w:rPr>
          <w:rFonts w:hint="eastAsia" w:ascii="仿宋" w:hAnsi="仿宋" w:eastAsia="仿宋" w:cs="仿宋"/>
          <w:b/>
          <w:bCs/>
          <w:color w:val="auto"/>
          <w:kern w:val="2"/>
          <w:sz w:val="24"/>
          <w:szCs w:val="24"/>
          <w:lang w:val="en-US" w:eastAsia="zh-CN" w:bidi="ar-SA"/>
        </w:rPr>
        <w:t>其它</w:t>
      </w:r>
      <w:r>
        <w:rPr>
          <w:rFonts w:hint="default" w:ascii="仿宋" w:hAnsi="仿宋" w:eastAsia="仿宋" w:cs="仿宋"/>
          <w:b/>
          <w:bCs/>
          <w:color w:val="auto"/>
          <w:kern w:val="2"/>
          <w:sz w:val="24"/>
          <w:szCs w:val="24"/>
          <w:lang w:val="en-US" w:eastAsia="zh-CN" w:bidi="ar-SA"/>
        </w:rPr>
        <w:t>配置</w:t>
      </w:r>
    </w:p>
    <w:p w14:paraId="1940D6D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1、工作站：</w:t>
      </w:r>
      <w:r>
        <w:rPr>
          <w:rFonts w:hint="eastAsia" w:ascii="仿宋" w:hAnsi="仿宋" w:eastAsia="仿宋" w:cs="仿宋"/>
          <w:b w:val="0"/>
          <w:bCs w:val="0"/>
          <w:color w:val="auto"/>
          <w:kern w:val="2"/>
          <w:sz w:val="24"/>
          <w:szCs w:val="24"/>
          <w:lang w:val="en-US" w:eastAsia="zh-CN" w:bidi="ar-SA"/>
        </w:rPr>
        <w:t>台式计算机</w:t>
      </w:r>
      <w:r>
        <w:rPr>
          <w:rFonts w:hint="default" w:ascii="仿宋" w:hAnsi="仿宋" w:eastAsia="仿宋" w:cs="仿宋"/>
          <w:b w:val="0"/>
          <w:bCs w:val="0"/>
          <w:color w:val="auto"/>
          <w:kern w:val="2"/>
          <w:sz w:val="24"/>
          <w:szCs w:val="24"/>
          <w:lang w:val="en-US" w:eastAsia="zh-CN" w:bidi="ar-SA"/>
        </w:rPr>
        <w:t>2 台，Windows10 以上操作系统，3.0GHzCPU四核处理器，16GB内存，1TB 固态硬盘，液晶显示屏，条码扫描器 1 套；</w:t>
      </w:r>
    </w:p>
    <w:p w14:paraId="35220FD4">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w:t>
      </w:r>
      <w:r>
        <w:rPr>
          <w:rFonts w:hint="default" w:ascii="仿宋" w:hAnsi="仿宋" w:eastAsia="仿宋" w:cs="仿宋"/>
          <w:b w:val="0"/>
          <w:bCs w:val="0"/>
          <w:color w:val="auto"/>
          <w:kern w:val="2"/>
          <w:sz w:val="24"/>
          <w:szCs w:val="24"/>
          <w:lang w:val="en-US" w:eastAsia="zh-CN" w:bidi="ar-SA"/>
        </w:rPr>
        <w:t>、专用 UPS 电源设备 1 台；</w:t>
      </w:r>
    </w:p>
    <w:p w14:paraId="763D4B21">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w:t>
      </w:r>
      <w:r>
        <w:rPr>
          <w:rFonts w:hint="default" w:ascii="仿宋" w:hAnsi="仿宋" w:eastAsia="仿宋" w:cs="仿宋"/>
          <w:b w:val="0"/>
          <w:bCs w:val="0"/>
          <w:color w:val="auto"/>
          <w:kern w:val="2"/>
          <w:sz w:val="24"/>
          <w:szCs w:val="24"/>
          <w:lang w:val="en-US" w:eastAsia="zh-CN" w:bidi="ar-SA"/>
        </w:rPr>
        <w:t>、配备重复性靶片 2 块，点靶台 1 个；</w:t>
      </w:r>
    </w:p>
    <w:p w14:paraId="34810B68">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4</w:t>
      </w:r>
      <w:r>
        <w:rPr>
          <w:rFonts w:hint="default" w:ascii="仿宋" w:hAnsi="仿宋" w:eastAsia="仿宋" w:cs="仿宋"/>
          <w:b w:val="0"/>
          <w:bCs w:val="0"/>
          <w:color w:val="auto"/>
          <w:kern w:val="2"/>
          <w:sz w:val="24"/>
          <w:szCs w:val="24"/>
          <w:lang w:val="en-US" w:eastAsia="zh-CN" w:bidi="ar-SA"/>
        </w:rPr>
        <w:t>、配备高速离心机 1 台，移液枪 1 把，枪头 1 包，超声清洗仪 1 台；</w:t>
      </w:r>
    </w:p>
    <w:p w14:paraId="53658513">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5</w:t>
      </w:r>
      <w:r>
        <w:rPr>
          <w:rFonts w:hint="default" w:ascii="仿宋" w:hAnsi="仿宋" w:eastAsia="仿宋" w:cs="仿宋"/>
          <w:b w:val="0"/>
          <w:bCs w:val="0"/>
          <w:color w:val="auto"/>
          <w:kern w:val="2"/>
          <w:sz w:val="24"/>
          <w:szCs w:val="24"/>
          <w:lang w:val="en-US" w:eastAsia="zh-CN" w:bidi="ar-SA"/>
        </w:rPr>
        <w:t>、配备质谱前处理试剂、基质试剂、霉菌预处理试剂、血培养阳性样本预处理试剂及校准品一套；</w:t>
      </w:r>
    </w:p>
    <w:p w14:paraId="7CB674CE">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6</w:t>
      </w:r>
      <w:r>
        <w:rPr>
          <w:rFonts w:hint="default" w:ascii="仿宋" w:hAnsi="仿宋" w:eastAsia="仿宋" w:cs="仿宋"/>
          <w:b w:val="0"/>
          <w:bCs w:val="0"/>
          <w:color w:val="auto"/>
          <w:kern w:val="2"/>
          <w:sz w:val="24"/>
          <w:szCs w:val="24"/>
          <w:lang w:val="en-US" w:eastAsia="zh-CN" w:bidi="ar-SA"/>
        </w:rPr>
        <w:t>、配备微生物点样仪 1台；</w:t>
      </w:r>
    </w:p>
    <w:p w14:paraId="278DEB83">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7</w:t>
      </w:r>
      <w:r>
        <w:rPr>
          <w:rFonts w:hint="default" w:ascii="仿宋" w:hAnsi="仿宋" w:eastAsia="仿宋" w:cs="仿宋"/>
          <w:b w:val="0"/>
          <w:bCs w:val="0"/>
          <w:color w:val="auto"/>
          <w:kern w:val="2"/>
          <w:sz w:val="24"/>
          <w:szCs w:val="24"/>
          <w:lang w:val="en-US" w:eastAsia="zh-CN" w:bidi="ar-SA"/>
        </w:rPr>
        <w:t>、配备40孔（5-7ml采血管）低速离心机2台。</w:t>
      </w:r>
    </w:p>
    <w:p w14:paraId="1E0FF5BC">
      <w:pPr>
        <w:rPr>
          <w:rFonts w:hint="default" w:ascii="仿宋" w:hAnsi="仿宋" w:eastAsia="仿宋" w:cs="仿宋"/>
          <w:b w:val="0"/>
          <w:bCs w:val="0"/>
          <w:color w:val="auto"/>
          <w:kern w:val="2"/>
          <w:sz w:val="24"/>
          <w:szCs w:val="24"/>
          <w:lang w:val="en-US" w:eastAsia="zh-CN" w:bidi="ar-SA"/>
        </w:rPr>
      </w:pPr>
    </w:p>
    <w:p w14:paraId="1E9A61A0">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9包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全自动生化分析仪</w:t>
      </w:r>
    </w:p>
    <w:p w14:paraId="763DE41A">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一、基本参数</w:t>
      </w:r>
    </w:p>
    <w:p w14:paraId="78FAFF8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★1、分析速度：单模块比色恒速≥2000项测试/小时，双模块比色恒速≥4000项测试/小时，单模块ISE测速：600T/h，可同品牌模块化联机；</w:t>
      </w:r>
    </w:p>
    <w:p w14:paraId="0641A8B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★2、试剂项目可全开放或可支持第三方试剂；</w:t>
      </w:r>
    </w:p>
    <w:p w14:paraId="442803B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3、生化分析方法：终点法，速率法，固定时间法（两点法）；</w:t>
      </w:r>
    </w:p>
    <w:p w14:paraId="35A7919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4、检测原理：包括比色法、比浊法、离子选择电极法；</w:t>
      </w:r>
    </w:p>
    <w:p w14:paraId="425EFD7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▲5、试剂系统：≥176个试剂位；具备24小时不间断冷藏功能，试剂仓冷藏温度2℃～8℃;</w:t>
      </w:r>
    </w:p>
    <w:p w14:paraId="04D6BB6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6、最小试剂量：≤10μL,≤1μL递增；</w:t>
      </w:r>
    </w:p>
    <w:p w14:paraId="2B353E78">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7、</w:t>
      </w:r>
      <w:r>
        <w:rPr>
          <w:rFonts w:hint="default" w:ascii="仿宋" w:hAnsi="仿宋" w:eastAsia="仿宋" w:cs="仿宋"/>
          <w:b w:val="0"/>
          <w:bCs w:val="0"/>
          <w:color w:val="auto"/>
          <w:kern w:val="2"/>
          <w:sz w:val="24"/>
          <w:szCs w:val="24"/>
          <w:lang w:val="en-US" w:eastAsia="zh-CN" w:bidi="ar-SA"/>
        </w:rPr>
        <w:t>具有试剂在线装载功能，即仪器在运行过程中可随时添加试剂；</w:t>
      </w:r>
    </w:p>
    <w:p w14:paraId="56D87E7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8、仪器单模块可同时支持在线分析项目数：≥72个项目，3个ISE项目(K+、Na+、Cl-), 同项目放置多瓶试剂；</w:t>
      </w:r>
    </w:p>
    <w:p w14:paraId="27DA36D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9、最小样本量：≤1.5μL,0.1μL递增；</w:t>
      </w:r>
    </w:p>
    <w:p w14:paraId="6F57672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10、样本质量分析：具有血清指数(脂浊(L),溶血(H),黄疸(I)程度定性判定输出功能；</w:t>
      </w:r>
    </w:p>
    <w:p w14:paraId="0BED5A2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11、样本针携带污染率≤0.1%;</w:t>
      </w:r>
    </w:p>
    <w:p w14:paraId="711CA8E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12、样本探针功能：液面探测、堵针检测、碰撞检测及报警功能；</w:t>
      </w:r>
    </w:p>
    <w:p w14:paraId="5388A2E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13、支持稀释重测时预设多档稀释倍数，针对不同样本可以选择不同稀释倍数；</w:t>
      </w:r>
    </w:p>
    <w:p w14:paraId="59F2853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14、前带检测功能：有免疫比浊法的“带现象”的前带监测功能及处理方法；</w:t>
      </w:r>
    </w:p>
    <w:p w14:paraId="56221FF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15、模块化设计，可与同型号生化分析仪和同品牌化学发光分析仪级联升级；</w:t>
      </w:r>
    </w:p>
    <w:p w14:paraId="4EAD5B2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★16、最小反应体积：≤70ul,有效节省试剂成本；</w:t>
      </w:r>
    </w:p>
    <w:p w14:paraId="7328D92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17、带有自动去盖模块：可选配开盖模块,与样本台连接，自动移除试管帽；</w:t>
      </w:r>
    </w:p>
    <w:p w14:paraId="4BF1ACF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▲18、比色杯：≥430个比色杯；半永久或永久使用；</w:t>
      </w:r>
    </w:p>
    <w:p w14:paraId="2A8F734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19、光学系统：光栅后分光，16个波长，340～850nm,光纤光路传输，抗干扰强；</w:t>
      </w:r>
    </w:p>
    <w:p w14:paraId="42DD010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20、吸光度线性范围0-3.5 Abs,确保高值异常样本检测；</w:t>
      </w:r>
    </w:p>
    <w:p w14:paraId="09C72E5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 xml:space="preserve">21、温控系统：反应温度控制37°C±0.1°C； </w:t>
      </w:r>
    </w:p>
    <w:p w14:paraId="5F5C7A5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22、急诊功能：具备专用急诊位及急诊轨道、可定义设置样本台急诊位；可使用样本盘进行急诊测试；采用双急诊模式，常规急诊架加样和(STAT)特级加样；</w:t>
      </w:r>
    </w:p>
    <w:p w14:paraId="7189221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23、装机配套试剂：配备装机试剂一套。</w:t>
      </w:r>
    </w:p>
    <w:p w14:paraId="222302D1">
      <w:pPr>
        <w:rPr>
          <w:rFonts w:hint="default" w:ascii="仿宋" w:hAnsi="仿宋" w:eastAsia="仿宋" w:cs="仿宋"/>
          <w:b/>
          <w:bCs/>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二、配置</w:t>
      </w:r>
    </w:p>
    <w:p w14:paraId="1EB0187E">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1、全自动生化分析仪（双模块）：1套</w:t>
      </w:r>
    </w:p>
    <w:p w14:paraId="08B8176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2、分析仪每个模块配备电解质模块：1套</w:t>
      </w:r>
    </w:p>
    <w:p w14:paraId="7A5002E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3、软件系统：1套</w:t>
      </w:r>
    </w:p>
    <w:p w14:paraId="59F8431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4、配件包：1套</w:t>
      </w:r>
    </w:p>
    <w:p w14:paraId="742F397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5、仪器配备能满足仪器日常运行要求的UPS：1台</w:t>
      </w:r>
    </w:p>
    <w:p w14:paraId="024689C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6、去盖单元（自动移除试管帽）：1套</w:t>
      </w:r>
    </w:p>
    <w:p w14:paraId="6E9371E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7、5～7ml采血管96孔低速离心机：1台</w:t>
      </w:r>
    </w:p>
    <w:p w14:paraId="4E87826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8、24孔高速离心机：1台</w:t>
      </w:r>
    </w:p>
    <w:p w14:paraId="0A8D8E4F">
      <w:pPr>
        <w:rPr>
          <w:rFonts w:hint="default" w:ascii="仿宋" w:hAnsi="仿宋" w:eastAsia="仿宋" w:cs="仿宋"/>
          <w:b w:val="0"/>
          <w:bCs w:val="0"/>
          <w:color w:val="auto"/>
          <w:kern w:val="2"/>
          <w:sz w:val="24"/>
          <w:szCs w:val="24"/>
          <w:lang w:val="en-US" w:eastAsia="zh-CN" w:bidi="ar-SA"/>
        </w:rPr>
      </w:pPr>
    </w:p>
    <w:p w14:paraId="139B51DA">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10包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染色体智能分析系统</w:t>
      </w:r>
    </w:p>
    <w:p w14:paraId="4B8D78E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★1.使用智能分析辅助功能，对原始中期分裂相图片进行一键分析操作后，直接提供的染色体一键切割识别准确率≥98%，平均每幅染色体核型图的处理时间≤1s。</w:t>
      </w:r>
    </w:p>
    <w:p w14:paraId="5FDC2364">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2.系统可以云端连到人类染色体在线诊断联盟等国内跨省级遗传学会。</w:t>
      </w:r>
    </w:p>
    <w:p w14:paraId="2D347BD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系统内置常见异常核型知识库，支持查询染色体异常相关疾病、基因、蛋白质和预后措施等信息。同时知识库支持自定义编辑功能，可形成科室专用异常数据库。系统自动将分析样本的核型与知识库中的核型匹配，提示相关异常描述。</w:t>
      </w:r>
    </w:p>
    <w:p w14:paraId="4EFDA72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★4.支持不同条带分辨率（G、R显带）的模式图显示。</w:t>
      </w:r>
    </w:p>
    <w:p w14:paraId="50BD8FD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5.染色体图像分割正确率≥99%，染色单体识别排列准确率≥99%。</w:t>
      </w:r>
    </w:p>
    <w:p w14:paraId="607896E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▲6.系统采用客户端/服务器架构，在医院授权的局域网内通过客户端软件访问</w:t>
      </w:r>
      <w:r>
        <w:rPr>
          <w:rFonts w:hint="eastAsia" w:ascii="仿宋" w:hAnsi="仿宋" w:eastAsia="仿宋" w:cs="仿宋"/>
          <w:b w:val="0"/>
          <w:bCs w:val="0"/>
          <w:color w:val="auto"/>
          <w:kern w:val="2"/>
          <w:sz w:val="24"/>
          <w:szCs w:val="24"/>
          <w:lang w:val="en-US" w:eastAsia="zh-CN" w:bidi="ar-SA"/>
        </w:rPr>
        <w:t>。</w:t>
      </w:r>
      <w:r>
        <w:rPr>
          <w:rFonts w:hint="default" w:ascii="仿宋" w:hAnsi="仿宋" w:eastAsia="仿宋" w:cs="仿宋"/>
          <w:b w:val="0"/>
          <w:bCs w:val="0"/>
          <w:color w:val="auto"/>
          <w:kern w:val="2"/>
          <w:sz w:val="24"/>
          <w:szCs w:val="24"/>
          <w:lang w:val="en-US" w:eastAsia="zh-CN" w:bidi="ar-SA"/>
        </w:rPr>
        <w:t>▲7.每个终端有独立的U盾密码狗，以硬件方式提高了软件安全性。</w:t>
      </w:r>
    </w:p>
    <w:p w14:paraId="436746D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8.支持缺陷识别功能模块，具备一种检测染色体结构异常的分类器模型训练方法及装置或一种基于深度学习的染色体结构异常的检测方法及装置。</w:t>
      </w:r>
    </w:p>
    <w:p w14:paraId="530A1B0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9.支持在离线情况下进行病例分析。</w:t>
      </w:r>
    </w:p>
    <w:p w14:paraId="13DF0CA3">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10.支持在排列图中对粘连染色体一键划线切割。</w:t>
      </w:r>
    </w:p>
    <w:p w14:paraId="54B7D23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拥有异常深度分析工具，可自动识别包括缺失、倒位、插入、重复、平衡易位等的染色体结构异常，自动在核型图中标注数目异常和结构异常的染色体组。染色体数目异常识别灵敏度≥99%；染色体结构异常识别灵敏度≥80%。（须提供CNAS或CMA第三方证明文件）</w:t>
      </w:r>
    </w:p>
    <w:p w14:paraId="54CDF48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▲12.对染色体异常的分析应提供同源染色体综合对比分析能力，即支持1对染色体的同源染色体对比、2对染色体的同源染色体对比以及23对染色体的同源染色体对比。</w:t>
      </w:r>
    </w:p>
    <w:p w14:paraId="493D5762">
      <w:pP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24"/>
          <w:szCs w:val="24"/>
          <w:lang w:val="en-US" w:eastAsia="zh-Hans" w:bidi="ar-SA"/>
        </w:rPr>
        <w:t>★</w:t>
      </w:r>
      <w:r>
        <w:rPr>
          <w:rFonts w:hint="default" w:ascii="仿宋" w:hAnsi="仿宋" w:eastAsia="仿宋" w:cs="仿宋"/>
          <w:b w:val="0"/>
          <w:bCs w:val="0"/>
          <w:color w:val="auto"/>
          <w:kern w:val="2"/>
          <w:sz w:val="24"/>
          <w:szCs w:val="24"/>
          <w:lang w:val="en-US" w:eastAsia="zh-CN" w:bidi="ar-SA"/>
        </w:rPr>
        <w:t>13.</w:t>
      </w:r>
    </w:p>
    <w:tbl>
      <w:tblPr>
        <w:tblStyle w:val="6"/>
        <w:tblpPr w:leftFromText="180" w:rightFromText="180" w:vertAnchor="text" w:horzAnchor="page" w:tblpX="3279" w:tblpY="131"/>
        <w:tblOverlap w:val="never"/>
        <w:tblW w:w="64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862"/>
        <w:gridCol w:w="2222"/>
        <w:gridCol w:w="623"/>
        <w:gridCol w:w="1693"/>
      </w:tblGrid>
      <w:tr w14:paraId="447C8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6400" w:type="dxa"/>
            <w:gridSpan w:val="4"/>
            <w:vAlign w:val="top"/>
          </w:tcPr>
          <w:p w14:paraId="1FE77338">
            <w:pPr>
              <w:bidi w:val="0"/>
              <w:jc w:val="center"/>
              <w:rPr>
                <w:rFonts w:hint="eastAsia" w:ascii="仿宋" w:hAnsi="仿宋" w:eastAsia="仿宋" w:cs="仿宋"/>
              </w:rPr>
            </w:pPr>
            <w:r>
              <w:rPr>
                <w:rFonts w:hint="eastAsia" w:ascii="仿宋" w:hAnsi="仿宋" w:eastAsia="仿宋" w:cs="仿宋"/>
                <w:b/>
                <w:bCs/>
              </w:rPr>
              <w:t>产品配置清单(单台/套)</w:t>
            </w:r>
          </w:p>
        </w:tc>
      </w:tr>
      <w:tr w14:paraId="73992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1862" w:type="dxa"/>
            <w:vAlign w:val="top"/>
          </w:tcPr>
          <w:p w14:paraId="117F667C">
            <w:pPr>
              <w:bidi w:val="0"/>
              <w:jc w:val="center"/>
              <w:rPr>
                <w:rFonts w:hint="eastAsia" w:ascii="仿宋" w:hAnsi="仿宋" w:eastAsia="仿宋" w:cs="仿宋"/>
              </w:rPr>
            </w:pPr>
            <w:r>
              <w:rPr>
                <w:rFonts w:hint="eastAsia" w:ascii="仿宋" w:hAnsi="仿宋" w:eastAsia="仿宋" w:cs="仿宋"/>
              </w:rPr>
              <w:t>序号</w:t>
            </w:r>
          </w:p>
        </w:tc>
        <w:tc>
          <w:tcPr>
            <w:tcW w:w="2222" w:type="dxa"/>
            <w:vAlign w:val="top"/>
          </w:tcPr>
          <w:p w14:paraId="0C1FC785">
            <w:pPr>
              <w:bidi w:val="0"/>
              <w:jc w:val="center"/>
              <w:rPr>
                <w:rFonts w:hint="eastAsia" w:ascii="仿宋" w:hAnsi="仿宋" w:eastAsia="仿宋" w:cs="仿宋"/>
              </w:rPr>
            </w:pPr>
            <w:r>
              <w:rPr>
                <w:rFonts w:hint="eastAsia" w:ascii="仿宋" w:hAnsi="仿宋" w:eastAsia="仿宋" w:cs="仿宋"/>
              </w:rPr>
              <w:t>项目名称</w:t>
            </w:r>
          </w:p>
        </w:tc>
        <w:tc>
          <w:tcPr>
            <w:tcW w:w="623" w:type="dxa"/>
            <w:vAlign w:val="top"/>
          </w:tcPr>
          <w:p w14:paraId="1FE8FE5E">
            <w:pPr>
              <w:bidi w:val="0"/>
              <w:jc w:val="center"/>
              <w:rPr>
                <w:rFonts w:hint="eastAsia" w:ascii="仿宋" w:hAnsi="仿宋" w:eastAsia="仿宋" w:cs="仿宋"/>
              </w:rPr>
            </w:pPr>
            <w:r>
              <w:rPr>
                <w:rFonts w:hint="eastAsia" w:ascii="仿宋" w:hAnsi="仿宋" w:eastAsia="仿宋" w:cs="仿宋"/>
              </w:rPr>
              <w:t>数量</w:t>
            </w:r>
          </w:p>
        </w:tc>
        <w:tc>
          <w:tcPr>
            <w:tcW w:w="1693" w:type="dxa"/>
            <w:vAlign w:val="top"/>
          </w:tcPr>
          <w:p w14:paraId="0C569F60">
            <w:pPr>
              <w:bidi w:val="0"/>
              <w:jc w:val="center"/>
              <w:rPr>
                <w:rFonts w:hint="eastAsia" w:ascii="仿宋" w:hAnsi="仿宋" w:eastAsia="仿宋" w:cs="仿宋"/>
              </w:rPr>
            </w:pPr>
            <w:r>
              <w:rPr>
                <w:rFonts w:hint="eastAsia" w:ascii="仿宋" w:hAnsi="仿宋" w:eastAsia="仿宋" w:cs="仿宋"/>
              </w:rPr>
              <w:t>单位</w:t>
            </w:r>
          </w:p>
        </w:tc>
      </w:tr>
      <w:tr w14:paraId="4B9DD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862" w:type="dxa"/>
            <w:vAlign w:val="top"/>
          </w:tcPr>
          <w:p w14:paraId="0041E93B">
            <w:pPr>
              <w:bidi w:val="0"/>
              <w:jc w:val="center"/>
              <w:rPr>
                <w:rFonts w:hint="eastAsia" w:ascii="仿宋" w:hAnsi="仿宋" w:eastAsia="仿宋" w:cs="仿宋"/>
              </w:rPr>
            </w:pPr>
            <w:r>
              <w:rPr>
                <w:rFonts w:hint="eastAsia" w:ascii="仿宋" w:hAnsi="仿宋" w:eastAsia="仿宋" w:cs="仿宋"/>
              </w:rPr>
              <w:t>1</w:t>
            </w:r>
          </w:p>
        </w:tc>
        <w:tc>
          <w:tcPr>
            <w:tcW w:w="2222" w:type="dxa"/>
            <w:vAlign w:val="top"/>
          </w:tcPr>
          <w:p w14:paraId="233E8B42">
            <w:pPr>
              <w:bidi w:val="0"/>
              <w:jc w:val="center"/>
              <w:rPr>
                <w:rFonts w:hint="eastAsia" w:ascii="仿宋" w:hAnsi="仿宋" w:eastAsia="仿宋" w:cs="仿宋"/>
              </w:rPr>
            </w:pPr>
            <w:r>
              <w:rPr>
                <w:rFonts w:hint="eastAsia" w:ascii="仿宋" w:hAnsi="仿宋" w:eastAsia="仿宋" w:cs="仿宋"/>
              </w:rPr>
              <w:t>染色体分析软件V2.0</w:t>
            </w:r>
          </w:p>
        </w:tc>
        <w:tc>
          <w:tcPr>
            <w:tcW w:w="623" w:type="dxa"/>
            <w:vAlign w:val="top"/>
          </w:tcPr>
          <w:p w14:paraId="763F86DE">
            <w:pPr>
              <w:bidi w:val="0"/>
              <w:jc w:val="center"/>
              <w:rPr>
                <w:rFonts w:hint="eastAsia" w:ascii="仿宋" w:hAnsi="仿宋" w:eastAsia="仿宋" w:cs="仿宋"/>
                <w:lang w:eastAsia="zh-CN"/>
              </w:rPr>
            </w:pPr>
            <w:r>
              <w:rPr>
                <w:rFonts w:hint="eastAsia" w:ascii="仿宋" w:hAnsi="仿宋" w:eastAsia="仿宋" w:cs="仿宋"/>
                <w:lang w:val="en-US" w:eastAsia="zh-CN"/>
              </w:rPr>
              <w:t>4</w:t>
            </w:r>
          </w:p>
        </w:tc>
        <w:tc>
          <w:tcPr>
            <w:tcW w:w="1693" w:type="dxa"/>
            <w:vAlign w:val="top"/>
          </w:tcPr>
          <w:p w14:paraId="513920BC">
            <w:pPr>
              <w:bidi w:val="0"/>
              <w:jc w:val="center"/>
              <w:rPr>
                <w:rFonts w:hint="eastAsia" w:ascii="仿宋" w:hAnsi="仿宋" w:eastAsia="仿宋" w:cs="仿宋"/>
              </w:rPr>
            </w:pPr>
            <w:r>
              <w:rPr>
                <w:rFonts w:hint="eastAsia" w:ascii="仿宋" w:hAnsi="仿宋" w:eastAsia="仿宋" w:cs="仿宋"/>
              </w:rPr>
              <w:t>套</w:t>
            </w:r>
          </w:p>
        </w:tc>
      </w:tr>
      <w:tr w14:paraId="036CF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1862" w:type="dxa"/>
            <w:vAlign w:val="top"/>
          </w:tcPr>
          <w:p w14:paraId="4549FEC8">
            <w:pPr>
              <w:bidi w:val="0"/>
              <w:jc w:val="center"/>
              <w:rPr>
                <w:rFonts w:hint="eastAsia" w:ascii="仿宋" w:hAnsi="仿宋" w:eastAsia="仿宋" w:cs="仿宋"/>
              </w:rPr>
            </w:pPr>
            <w:r>
              <w:rPr>
                <w:rFonts w:hint="eastAsia" w:ascii="仿宋" w:hAnsi="仿宋" w:eastAsia="仿宋" w:cs="仿宋"/>
              </w:rPr>
              <w:t>2</w:t>
            </w:r>
          </w:p>
        </w:tc>
        <w:tc>
          <w:tcPr>
            <w:tcW w:w="2222" w:type="dxa"/>
            <w:vAlign w:val="top"/>
          </w:tcPr>
          <w:p w14:paraId="5EA61BD6">
            <w:pPr>
              <w:bidi w:val="0"/>
              <w:jc w:val="center"/>
              <w:rPr>
                <w:rFonts w:hint="eastAsia" w:ascii="仿宋" w:hAnsi="仿宋" w:eastAsia="仿宋" w:cs="仿宋"/>
              </w:rPr>
            </w:pPr>
            <w:r>
              <w:rPr>
                <w:rFonts w:hint="eastAsia" w:ascii="仿宋" w:hAnsi="仿宋" w:eastAsia="仿宋" w:cs="仿宋"/>
              </w:rPr>
              <w:t>中央服务器</w:t>
            </w:r>
          </w:p>
        </w:tc>
        <w:tc>
          <w:tcPr>
            <w:tcW w:w="623" w:type="dxa"/>
            <w:vAlign w:val="top"/>
          </w:tcPr>
          <w:p w14:paraId="39DC77DD">
            <w:pPr>
              <w:bidi w:val="0"/>
              <w:jc w:val="center"/>
              <w:rPr>
                <w:rFonts w:hint="eastAsia" w:ascii="仿宋" w:hAnsi="仿宋" w:eastAsia="仿宋" w:cs="仿宋"/>
              </w:rPr>
            </w:pPr>
            <w:r>
              <w:rPr>
                <w:rFonts w:hint="eastAsia" w:ascii="仿宋" w:hAnsi="仿宋" w:eastAsia="仿宋" w:cs="仿宋"/>
              </w:rPr>
              <w:t>1</w:t>
            </w:r>
          </w:p>
        </w:tc>
        <w:tc>
          <w:tcPr>
            <w:tcW w:w="1693" w:type="dxa"/>
            <w:vAlign w:val="top"/>
          </w:tcPr>
          <w:p w14:paraId="7077C641">
            <w:pPr>
              <w:bidi w:val="0"/>
              <w:jc w:val="center"/>
              <w:rPr>
                <w:rFonts w:hint="eastAsia" w:ascii="仿宋" w:hAnsi="仿宋" w:eastAsia="仿宋" w:cs="仿宋"/>
              </w:rPr>
            </w:pPr>
            <w:r>
              <w:rPr>
                <w:rFonts w:hint="eastAsia" w:ascii="仿宋" w:hAnsi="仿宋" w:eastAsia="仿宋" w:cs="仿宋"/>
              </w:rPr>
              <w:t>套</w:t>
            </w:r>
          </w:p>
        </w:tc>
      </w:tr>
      <w:tr w14:paraId="08C3D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jc w:val="center"/>
        </w:trPr>
        <w:tc>
          <w:tcPr>
            <w:tcW w:w="1862" w:type="dxa"/>
            <w:vAlign w:val="top"/>
          </w:tcPr>
          <w:p w14:paraId="09CA53A2">
            <w:pPr>
              <w:bidi w:val="0"/>
              <w:jc w:val="center"/>
              <w:rPr>
                <w:rFonts w:hint="eastAsia" w:ascii="仿宋" w:hAnsi="仿宋" w:eastAsia="仿宋" w:cs="仿宋"/>
              </w:rPr>
            </w:pPr>
            <w:r>
              <w:rPr>
                <w:rFonts w:hint="eastAsia" w:ascii="仿宋" w:hAnsi="仿宋" w:eastAsia="仿宋" w:cs="仿宋"/>
              </w:rPr>
              <w:t>3</w:t>
            </w:r>
          </w:p>
        </w:tc>
        <w:tc>
          <w:tcPr>
            <w:tcW w:w="2222" w:type="dxa"/>
            <w:vAlign w:val="top"/>
          </w:tcPr>
          <w:p w14:paraId="29E74B9E">
            <w:pPr>
              <w:bidi w:val="0"/>
              <w:jc w:val="center"/>
              <w:rPr>
                <w:rFonts w:hint="eastAsia" w:ascii="仿宋" w:hAnsi="仿宋" w:eastAsia="仿宋" w:cs="仿宋"/>
              </w:rPr>
            </w:pPr>
            <w:r>
              <w:rPr>
                <w:rFonts w:hint="eastAsia" w:ascii="仿宋" w:hAnsi="仿宋" w:eastAsia="仿宋" w:cs="仿宋"/>
                <w:lang w:val="en-US" w:eastAsia="zh-CN"/>
              </w:rPr>
              <w:t>独立</w:t>
            </w:r>
            <w:r>
              <w:rPr>
                <w:rFonts w:hint="eastAsia" w:ascii="仿宋" w:hAnsi="仿宋" w:eastAsia="仿宋" w:cs="仿宋"/>
              </w:rPr>
              <w:t>专家工作站</w:t>
            </w:r>
          </w:p>
        </w:tc>
        <w:tc>
          <w:tcPr>
            <w:tcW w:w="623" w:type="dxa"/>
            <w:vAlign w:val="top"/>
          </w:tcPr>
          <w:p w14:paraId="3AE4CBB5">
            <w:pPr>
              <w:bidi w:val="0"/>
              <w:jc w:val="center"/>
              <w:rPr>
                <w:rFonts w:hint="eastAsia" w:ascii="仿宋" w:hAnsi="仿宋" w:eastAsia="仿宋" w:cs="仿宋"/>
                <w:lang w:eastAsia="zh-CN"/>
              </w:rPr>
            </w:pPr>
            <w:r>
              <w:rPr>
                <w:rFonts w:hint="eastAsia" w:ascii="仿宋" w:hAnsi="仿宋" w:eastAsia="仿宋" w:cs="仿宋"/>
                <w:lang w:val="en-US" w:eastAsia="zh-CN"/>
              </w:rPr>
              <w:t>4</w:t>
            </w:r>
          </w:p>
        </w:tc>
        <w:tc>
          <w:tcPr>
            <w:tcW w:w="1693" w:type="dxa"/>
            <w:vAlign w:val="top"/>
          </w:tcPr>
          <w:p w14:paraId="4F161271">
            <w:pPr>
              <w:bidi w:val="0"/>
              <w:jc w:val="center"/>
              <w:rPr>
                <w:rFonts w:hint="eastAsia" w:ascii="仿宋" w:hAnsi="仿宋" w:eastAsia="仿宋" w:cs="仿宋"/>
              </w:rPr>
            </w:pPr>
            <w:r>
              <w:rPr>
                <w:rFonts w:hint="eastAsia" w:ascii="仿宋" w:hAnsi="仿宋" w:eastAsia="仿宋" w:cs="仿宋"/>
              </w:rPr>
              <w:t>套</w:t>
            </w:r>
          </w:p>
        </w:tc>
      </w:tr>
    </w:tbl>
    <w:p w14:paraId="44CB1588">
      <w:pPr>
        <w:bidi w:val="0"/>
        <w:rPr>
          <w:rFonts w:hint="default"/>
          <w:lang w:val="en-US" w:eastAsia="zh-CN"/>
        </w:rPr>
      </w:pPr>
    </w:p>
    <w:p w14:paraId="51EBBC08">
      <w:pPr>
        <w:rPr>
          <w:rFonts w:hint="default" w:ascii="仿宋" w:hAnsi="仿宋" w:eastAsia="仿宋" w:cs="仿宋"/>
          <w:b/>
          <w:bCs/>
          <w:color w:val="auto"/>
          <w:kern w:val="2"/>
          <w:sz w:val="24"/>
          <w:szCs w:val="24"/>
          <w:lang w:val="en-US" w:eastAsia="zh-CN" w:bidi="ar-SA"/>
        </w:rPr>
      </w:pPr>
    </w:p>
    <w:p w14:paraId="7F98D246">
      <w:pPr>
        <w:rPr>
          <w:rFonts w:hint="default" w:ascii="仿宋" w:hAnsi="仿宋" w:eastAsia="仿宋" w:cs="仿宋"/>
          <w:b/>
          <w:bCs/>
          <w:color w:val="auto"/>
          <w:kern w:val="2"/>
          <w:sz w:val="24"/>
          <w:szCs w:val="24"/>
          <w:lang w:val="en-US" w:eastAsia="zh-CN" w:bidi="ar-SA"/>
        </w:rPr>
      </w:pPr>
    </w:p>
    <w:p w14:paraId="3D0F0E76">
      <w:pPr>
        <w:rPr>
          <w:rFonts w:hint="default" w:ascii="仿宋" w:hAnsi="仿宋" w:eastAsia="仿宋" w:cs="仿宋"/>
          <w:b/>
          <w:bCs/>
          <w:color w:val="auto"/>
          <w:kern w:val="2"/>
          <w:sz w:val="24"/>
          <w:szCs w:val="24"/>
          <w:lang w:val="en-US" w:eastAsia="zh-CN" w:bidi="ar-SA"/>
        </w:rPr>
      </w:pPr>
    </w:p>
    <w:p w14:paraId="32FDE7A4">
      <w:pPr>
        <w:rPr>
          <w:rFonts w:hint="default" w:ascii="仿宋" w:hAnsi="仿宋" w:eastAsia="仿宋" w:cs="仿宋"/>
          <w:b/>
          <w:bCs/>
          <w:color w:val="auto"/>
          <w:kern w:val="2"/>
          <w:sz w:val="24"/>
          <w:szCs w:val="24"/>
          <w:lang w:val="en-US" w:eastAsia="zh-CN" w:bidi="ar-SA"/>
        </w:rPr>
      </w:pPr>
    </w:p>
    <w:p w14:paraId="6C7D8B69">
      <w:pPr>
        <w:rPr>
          <w:rFonts w:hint="default" w:ascii="仿宋" w:hAnsi="仿宋" w:eastAsia="仿宋" w:cs="仿宋"/>
          <w:b/>
          <w:bCs/>
          <w:color w:val="auto"/>
          <w:kern w:val="2"/>
          <w:sz w:val="24"/>
          <w:szCs w:val="24"/>
          <w:lang w:val="en-US" w:eastAsia="zh-CN" w:bidi="ar-SA"/>
        </w:rPr>
      </w:pPr>
    </w:p>
    <w:p w14:paraId="76FC02F9">
      <w:pPr>
        <w:rPr>
          <w:rFonts w:hint="default" w:ascii="仿宋" w:hAnsi="仿宋" w:eastAsia="仿宋" w:cs="仿宋"/>
          <w:b/>
          <w:bCs/>
          <w:color w:val="auto"/>
          <w:kern w:val="2"/>
          <w:sz w:val="24"/>
          <w:szCs w:val="24"/>
          <w:lang w:val="en-US" w:eastAsia="zh-CN" w:bidi="ar-SA"/>
        </w:rPr>
      </w:pPr>
    </w:p>
    <w:p w14:paraId="57EB0003">
      <w:pPr>
        <w:rPr>
          <w:rFonts w:hint="default" w:ascii="仿宋" w:hAnsi="仿宋" w:eastAsia="仿宋" w:cs="仿宋"/>
          <w:b/>
          <w:bCs/>
          <w:color w:val="auto"/>
          <w:kern w:val="2"/>
          <w:sz w:val="24"/>
          <w:szCs w:val="24"/>
          <w:lang w:val="en-US" w:eastAsia="zh-CN" w:bidi="ar-SA"/>
        </w:rPr>
      </w:pPr>
    </w:p>
    <w:p w14:paraId="6796538C">
      <w:pPr>
        <w:rPr>
          <w:rFonts w:hint="default" w:ascii="仿宋" w:hAnsi="仿宋" w:eastAsia="仿宋" w:cs="仿宋"/>
          <w:b/>
          <w:bCs/>
          <w:color w:val="auto"/>
          <w:kern w:val="2"/>
          <w:sz w:val="24"/>
          <w:szCs w:val="24"/>
          <w:lang w:val="en-US" w:eastAsia="zh-CN" w:bidi="ar-SA"/>
        </w:rPr>
      </w:pPr>
    </w:p>
    <w:p w14:paraId="7B2DBCD6">
      <w:pPr>
        <w:rPr>
          <w:rFonts w:hint="default" w:ascii="仿宋" w:hAnsi="仿宋" w:eastAsia="仿宋" w:cs="仿宋"/>
          <w:b/>
          <w:bCs/>
          <w:color w:val="auto"/>
          <w:kern w:val="2"/>
          <w:sz w:val="24"/>
          <w:szCs w:val="24"/>
          <w:lang w:val="en-US" w:eastAsia="zh-CN" w:bidi="ar-SA"/>
        </w:rPr>
      </w:pPr>
    </w:p>
    <w:p w14:paraId="2ACFB161">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11包</w:t>
      </w:r>
      <w:r>
        <w:rPr>
          <w:rFonts w:hint="eastAsia" w:ascii="仿宋" w:hAnsi="仿宋" w:eastAsia="仿宋" w:cs="仿宋"/>
          <w:b/>
          <w:bCs/>
          <w:color w:val="auto"/>
          <w:kern w:val="2"/>
          <w:sz w:val="24"/>
          <w:szCs w:val="24"/>
          <w:lang w:val="en-US" w:eastAsia="zh-CN" w:bidi="ar-SA"/>
        </w:rPr>
        <w:t>:</w:t>
      </w:r>
      <w:r>
        <w:rPr>
          <w:rFonts w:hint="default" w:ascii="仿宋" w:hAnsi="仿宋" w:eastAsia="仿宋" w:cs="仿宋"/>
          <w:b/>
          <w:bCs/>
          <w:color w:val="auto"/>
          <w:kern w:val="2"/>
          <w:sz w:val="24"/>
          <w:szCs w:val="24"/>
          <w:lang w:val="en-US" w:eastAsia="zh-CN" w:bidi="ar-SA"/>
        </w:rPr>
        <w:t>倒置荧光显微镜</w:t>
      </w:r>
    </w:p>
    <w:p w14:paraId="75762C1E">
      <w:pPr>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Hans" w:bidi="ar-SA"/>
        </w:rPr>
        <w:t>★</w:t>
      </w:r>
      <w:r>
        <w:rPr>
          <w:rFonts w:hint="default" w:ascii="仿宋" w:hAnsi="仿宋" w:eastAsia="仿宋" w:cs="仿宋"/>
          <w:b/>
          <w:bCs/>
          <w:color w:val="auto"/>
          <w:kern w:val="2"/>
          <w:sz w:val="24"/>
          <w:szCs w:val="24"/>
          <w:lang w:val="en-US" w:eastAsia="zh-CN" w:bidi="ar-SA"/>
        </w:rPr>
        <w:t>一、配置</w:t>
      </w:r>
    </w:p>
    <w:p w14:paraId="0E13C786">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1、研究级倒置显微镜镜体  1台</w:t>
      </w:r>
    </w:p>
    <w:p w14:paraId="6ED2F6F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2、长工作距离万能聚光镜  1套</w:t>
      </w:r>
    </w:p>
    <w:p w14:paraId="0F47FE0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3、反射荧光照明系统      1套</w:t>
      </w:r>
    </w:p>
    <w:p w14:paraId="184F67E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4、4X、10X、20X、40X物镜   各一个</w:t>
      </w:r>
    </w:p>
    <w:p w14:paraId="6DDDDFC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 xml:space="preserve">5、原厂专业相机及分析系统    1套        </w:t>
      </w:r>
    </w:p>
    <w:p w14:paraId="27D3A8E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w:t>
      </w:r>
      <w:r>
        <w:rPr>
          <w:rFonts w:hint="eastAsia" w:ascii="仿宋" w:hAnsi="仿宋" w:eastAsia="仿宋" w:cs="仿宋"/>
          <w:b w:val="0"/>
          <w:bCs w:val="0"/>
          <w:color w:val="auto"/>
          <w:kern w:val="2"/>
          <w:sz w:val="24"/>
          <w:szCs w:val="24"/>
          <w:lang w:val="en-US" w:eastAsia="zh-CN" w:bidi="ar-SA"/>
        </w:rPr>
        <w:t>台式计算机</w:t>
      </w:r>
      <w:r>
        <w:rPr>
          <w:rFonts w:hint="default" w:ascii="仿宋" w:hAnsi="仿宋" w:eastAsia="仿宋" w:cs="仿宋"/>
          <w:b w:val="0"/>
          <w:bCs w:val="0"/>
          <w:color w:val="auto"/>
          <w:kern w:val="2"/>
          <w:sz w:val="24"/>
          <w:szCs w:val="24"/>
          <w:lang w:val="en-US" w:eastAsia="zh-CN" w:bidi="ar-SA"/>
        </w:rPr>
        <w:t xml:space="preserve">             1台                                              </w:t>
      </w:r>
    </w:p>
    <w:p w14:paraId="08C2FA5D">
      <w:pP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 xml:space="preserve"> 二、主要参数：</w:t>
      </w:r>
    </w:p>
    <w:p w14:paraId="280F5AF0">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1.具有UIS2第二代无限远反差与色差校正光学系统，高光效光路设计;</w:t>
      </w:r>
    </w:p>
    <w:p w14:paraId="75DB89B7">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★2.系统配备实现明场，相差，荧光观察的观察方法,不需要另外采购其他配件;</w:t>
      </w:r>
    </w:p>
    <w:p w14:paraId="7704AE2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3.聚光镜，可以安装DIC、相差等配件</w:t>
      </w:r>
    </w:p>
    <w:p w14:paraId="7E9D0E4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▲4.配备具有智能六孔位以上物镜转盘；拍配原厂成像系统能在拍摄到的图片或在电脑进行图片预览时,结合当前物镜放大倍率,自动校正的标尺等信息,统一呈现当前显微镜工作状态及参数；</w:t>
      </w:r>
    </w:p>
    <w:p w14:paraId="0F1F8028">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5.透射光照明：配置LED透射光照明柱以及长寿命高色彩还原性LED光源，可调视场光阑,配有绿色滤光片，为明场和相差观察提供最佳色温及反差</w:t>
      </w:r>
    </w:p>
    <w:p w14:paraId="7813977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6.目镜：10X宽视野目镜，高接目点，可调焦,同时匹配宽视野双目观察筒；</w:t>
      </w:r>
    </w:p>
    <w:p w14:paraId="6F53DDA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▲7.物镜：</w:t>
      </w:r>
    </w:p>
    <w:p w14:paraId="3E839D05">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 xml:space="preserve">万能平场半复消色差相差物镜  4X (NA≥0.13工作距离≥WD17mm) </w:t>
      </w:r>
    </w:p>
    <w:p w14:paraId="3565CD1A">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 xml:space="preserve">万能平场半复消色差相差物镜10X (NA≥0.30, 工作距离≥WD10mm) </w:t>
      </w:r>
    </w:p>
    <w:p w14:paraId="7D563452">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长工作距离平场半复消色差相差物镜 20X (NA≥0.45,工作距离WD6.6mm至7.8可调);</w:t>
      </w:r>
    </w:p>
    <w:p w14:paraId="4C756FB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长工作距离平场半复消色差相差物镜40X (NA≥0.60,工作距离3.0mm至4.2可调);</w:t>
      </w:r>
    </w:p>
    <w:p w14:paraId="0653C44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▲8.聚光镜：长工作距离聚光镜，5孔转盘，孔径光阑可调，配备相差观察的光学元件，聚光镜高度锁定机制，快速调节科勒照明，提供最好的照明条件，N.A.0.55</w:t>
      </w:r>
    </w:p>
    <w:p w14:paraId="65A3470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9.编码型6孔以上激发块转盘，最多可以同时装8个荧光激发块，入配备原厂软件能自动识别激发块位置，并自动设置相应的荧光颜色；无需拆卸可更换激发块，内置光闸，防水设计；</w:t>
      </w:r>
    </w:p>
    <w:p w14:paraId="3ED2557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10.荧光滤色镜组：新型离子沉淀镀膜，高信噪比能够消除99%以上杂散光</w:t>
      </w:r>
    </w:p>
    <w:p w14:paraId="2F8D965D">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11. 紫外窄带激发块，蓝色宽带带通激发块，绿色宽带激发块</w:t>
      </w:r>
    </w:p>
    <w:p w14:paraId="1B401F0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12. 光源：配有高功率汞灯荧光光源</w:t>
      </w:r>
    </w:p>
    <w:p w14:paraId="39B3AF01">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13.配套原厂品牌相机及成像分析系统</w:t>
      </w:r>
    </w:p>
    <w:p w14:paraId="4401908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14. 高分辨率</w:t>
      </w:r>
      <w:r>
        <w:rPr>
          <w:rFonts w:hint="eastAsia" w:ascii="仿宋" w:hAnsi="仿宋" w:eastAsia="仿宋" w:cs="仿宋"/>
          <w:b w:val="0"/>
          <w:bCs w:val="0"/>
          <w:color w:val="auto"/>
          <w:kern w:val="2"/>
          <w:sz w:val="24"/>
          <w:szCs w:val="24"/>
          <w:lang w:val="en-US" w:eastAsia="zh-CN" w:bidi="ar-SA"/>
        </w:rPr>
        <w:t>（</w:t>
      </w:r>
      <w:r>
        <w:rPr>
          <w:rFonts w:hint="default" w:ascii="仿宋" w:hAnsi="仿宋" w:eastAsia="仿宋" w:cs="仿宋"/>
          <w:b w:val="0"/>
          <w:bCs w:val="0"/>
          <w:color w:val="auto"/>
          <w:kern w:val="2"/>
          <w:sz w:val="24"/>
          <w:szCs w:val="24"/>
          <w:lang w:val="en-US" w:eastAsia="zh-CN" w:bidi="ar-SA"/>
        </w:rPr>
        <w:t>物理像素≥1200万</w:t>
      </w:r>
      <w:r>
        <w:rPr>
          <w:rFonts w:hint="eastAsia" w:ascii="仿宋" w:hAnsi="仿宋" w:eastAsia="仿宋" w:cs="仿宋"/>
          <w:b w:val="0"/>
          <w:bCs w:val="0"/>
          <w:color w:val="auto"/>
          <w:kern w:val="2"/>
          <w:sz w:val="24"/>
          <w:szCs w:val="24"/>
          <w:lang w:val="en-US" w:eastAsia="zh-CN" w:bidi="ar-SA"/>
        </w:rPr>
        <w:t>）</w:t>
      </w:r>
      <w:r>
        <w:rPr>
          <w:rFonts w:hint="default" w:ascii="仿宋" w:hAnsi="仿宋" w:eastAsia="仿宋" w:cs="仿宋"/>
          <w:b w:val="0"/>
          <w:bCs w:val="0"/>
          <w:color w:val="auto"/>
          <w:kern w:val="2"/>
          <w:sz w:val="24"/>
          <w:szCs w:val="24"/>
          <w:lang w:val="en-US" w:eastAsia="zh-CN" w:bidi="ar-SA"/>
        </w:rPr>
        <w:t>高色彩还原显微专用数码相机</w:t>
      </w:r>
    </w:p>
    <w:p w14:paraId="668A14D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▲15.相机类型：彩色CMOS相机，全局快门</w:t>
      </w:r>
    </w:p>
    <w:p w14:paraId="1AFDCF51">
      <w:pPr>
        <w:jc w:val="left"/>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16.支持第三方如;MARZHAUSER, LUDI ,PRIOR,UNIBLITZ,ROPER,EXFO,QIMAGING,</w:t>
      </w:r>
    </w:p>
    <w:p w14:paraId="4E4D6052">
      <w:pPr>
        <w:jc w:val="left"/>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PHOTOMETRIC, HAMAMASHU公司的电动载物台，电动Z轴,电动光闸,荧光光源以及专业制冷快速彩色或单色数码CCD等配套仪器;</w:t>
      </w:r>
    </w:p>
    <w:p w14:paraId="5E1E684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17.制冷系统：Peltier制冷（大约室温-10度）</w:t>
      </w:r>
      <w:r>
        <w:rPr>
          <w:rFonts w:hint="eastAsia" w:ascii="仿宋" w:hAnsi="仿宋" w:eastAsia="仿宋" w:cs="仿宋"/>
          <w:b w:val="0"/>
          <w:bCs w:val="0"/>
          <w:color w:val="auto"/>
          <w:kern w:val="2"/>
          <w:sz w:val="24"/>
          <w:szCs w:val="24"/>
          <w:lang w:val="en-US" w:eastAsia="zh-CN" w:bidi="ar-SA"/>
        </w:rPr>
        <w:t>；</w:t>
      </w:r>
    </w:p>
    <w:p w14:paraId="47B262CF">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18.实时预览帧速≥60 fps（在1920 × 1200分辨率下）</w:t>
      </w:r>
      <w:r>
        <w:rPr>
          <w:rFonts w:hint="eastAsia" w:ascii="仿宋" w:hAnsi="仿宋" w:eastAsia="仿宋" w:cs="仿宋"/>
          <w:b w:val="0"/>
          <w:bCs w:val="0"/>
          <w:color w:val="auto"/>
          <w:kern w:val="2"/>
          <w:sz w:val="24"/>
          <w:szCs w:val="24"/>
          <w:lang w:val="en-US" w:eastAsia="zh-CN" w:bidi="ar-SA"/>
        </w:rPr>
        <w:t>；</w:t>
      </w:r>
    </w:p>
    <w:p w14:paraId="1DE6BC5B">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19.相机接口：C接口</w:t>
      </w:r>
      <w:r>
        <w:rPr>
          <w:rFonts w:hint="eastAsia" w:ascii="仿宋" w:hAnsi="仿宋" w:eastAsia="仿宋" w:cs="仿宋"/>
          <w:b w:val="0"/>
          <w:bCs w:val="0"/>
          <w:color w:val="auto"/>
          <w:kern w:val="2"/>
          <w:sz w:val="24"/>
          <w:szCs w:val="24"/>
          <w:lang w:val="en-US" w:eastAsia="zh-CN" w:bidi="ar-SA"/>
        </w:rPr>
        <w:t>；</w:t>
      </w:r>
    </w:p>
    <w:p w14:paraId="28961BF9">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20.原厂同品牌分析软件</w:t>
      </w:r>
      <w:r>
        <w:rPr>
          <w:rFonts w:hint="eastAsia" w:ascii="仿宋" w:hAnsi="仿宋" w:eastAsia="仿宋" w:cs="仿宋"/>
          <w:b w:val="0"/>
          <w:bCs w:val="0"/>
          <w:color w:val="auto"/>
          <w:kern w:val="2"/>
          <w:sz w:val="24"/>
          <w:szCs w:val="24"/>
          <w:lang w:val="en-US" w:eastAsia="zh-CN" w:bidi="ar-SA"/>
        </w:rPr>
        <w:t>；</w:t>
      </w:r>
    </w:p>
    <w:p w14:paraId="3AD2965C">
      <w:pPr>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21.合成透射光和荧光通道图像，显示荧光在细胞上的定位图像；</w:t>
      </w:r>
    </w:p>
    <w:p w14:paraId="2EAF78E1">
      <w:pPr>
        <w:rPr>
          <w:rFonts w:hint="eastAsia"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22.景深扩展（实时和后期）</w:t>
      </w:r>
      <w:r>
        <w:rPr>
          <w:rFonts w:hint="eastAsia" w:ascii="仿宋" w:hAnsi="仿宋" w:eastAsia="仿宋" w:cs="仿宋"/>
          <w:b w:val="0"/>
          <w:bCs w:val="0"/>
          <w:color w:val="auto"/>
          <w:kern w:val="2"/>
          <w:sz w:val="24"/>
          <w:szCs w:val="24"/>
          <w:lang w:val="en-US" w:eastAsia="zh-CN" w:bidi="ar-SA"/>
        </w:rPr>
        <w:t>。</w:t>
      </w:r>
    </w:p>
    <w:p w14:paraId="614DBD76">
      <w:pPr>
        <w:rPr>
          <w:rFonts w:hint="eastAsia" w:ascii="仿宋" w:hAnsi="仿宋" w:eastAsia="仿宋" w:cs="仿宋"/>
          <w:b w:val="0"/>
          <w:bCs w:val="0"/>
          <w:color w:val="auto"/>
          <w:kern w:val="2"/>
          <w:sz w:val="24"/>
          <w:szCs w:val="24"/>
          <w:lang w:val="en-US" w:eastAsia="zh-CN" w:bidi="ar-SA"/>
        </w:rPr>
      </w:pPr>
    </w:p>
    <w:p w14:paraId="7A433B24">
      <w:pPr>
        <w:rPr>
          <w:rFonts w:hint="eastAsia" w:ascii="仿宋" w:hAnsi="仿宋" w:eastAsia="仿宋" w:cs="仿宋"/>
          <w:b/>
          <w:bCs/>
          <w:color w:val="auto"/>
          <w:kern w:val="2"/>
          <w:sz w:val="24"/>
          <w:szCs w:val="24"/>
          <w:lang w:val="en-US" w:eastAsia="zh-Hans" w:bidi="ar-SA"/>
        </w:rPr>
      </w:pPr>
      <w:r>
        <w:rPr>
          <w:rFonts w:hint="eastAsia" w:ascii="仿宋" w:hAnsi="仿宋" w:eastAsia="仿宋" w:cs="仿宋"/>
          <w:b/>
          <w:bCs/>
          <w:color w:val="auto"/>
          <w:kern w:val="2"/>
          <w:sz w:val="24"/>
          <w:szCs w:val="24"/>
          <w:lang w:val="en-US" w:eastAsia="zh-Hans" w:bidi="ar-SA"/>
        </w:rPr>
        <w:t>★三、商务要求（以下服务条款产生的所有费用应包含在本次报价中）</w:t>
      </w:r>
    </w:p>
    <w:p w14:paraId="14E5B29B">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1、交货方式</w:t>
      </w:r>
    </w:p>
    <w:p w14:paraId="43CA8A19">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1.1交货时间：签订合同生效之日起国产设备60天、进口设备90天内交付全部产品。</w:t>
      </w:r>
    </w:p>
    <w:p w14:paraId="43BA4D7D">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1.2交货地点：海南医科大学第二附属医院（地址：海南省海口市龙华区椰海大道368号）</w:t>
      </w:r>
    </w:p>
    <w:p w14:paraId="14FC1972">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2、安装验收</w:t>
      </w:r>
    </w:p>
    <w:p w14:paraId="481B51B6">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2.1开箱检验，双方应共同对设备的包装、外观、设备品牌、原厂商、产地、规格型号、数量进行检验。所提供的产品生产日期国产设备应在自合同签署之日往前推算9个月内，进口设备应在自合同签署之日往前推算12个月内。如在开箱检验中发现所交付的合同设备有短缺、损坏、不合格产品等或与合同、随机文件不相符的情形，投标人应于约定交货时间内、最长不超过交货截止时间5个工作日予以无条件补足、更换,并承担由此造成的一切损失。待设备补足或更换后，双方重新对合同设备进行检验后再组织安装调试。</w:t>
      </w:r>
    </w:p>
    <w:p w14:paraId="303F74DC">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2.2投标人应派专业工程师到现场进行安装、调试设备，并对相关人员进行培训。在安装过程中，采购人工程师负责对设备安装调试予以配合和相应的协调工作。</w:t>
      </w:r>
    </w:p>
    <w:p w14:paraId="6A870D80">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2.3投标人对设备所进行的安装调试应与招标文件约定的性能完全一致，且不能低于相应的国家标准及行业标准。安装调试完毕，双方根据招标文件的技术标准共同进行验收，投标人向采购人交付合同设备的质量合格证、保修单、使用说明书、维修手册等相关资料。在验收过程中，如合同设备的一项或数项指标未达到设备技术资料所规定要求，投标人应于约定交货时间内、最长不超过交货截止时间5个工作日予以无条件补足、更换,并承担由此造成的一切损失，由此产生的费用由投标人承担。验收合格后，双方签署验收报告，并加盖公章确认。验收报告仅证明投标人所提供的设备截止出具检验报告之日时可以按招标文件、合同要求予以接受，但不能视为乙方对设备存在的潜在质量缺陷所应负的责任的解除，此验收报告不作为对设备质量认定的依据。</w:t>
      </w:r>
    </w:p>
    <w:p w14:paraId="3F861CD6">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2.4验收标准以招标文件技术参数及要求和相关行业标准为准，属于强检或需要校准的设备，安装后第一次计量检定费用由投标人承担，若达不到标准采购人可以要求退货或者换货。</w:t>
      </w:r>
    </w:p>
    <w:p w14:paraId="60DEF4A7">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2.5提供的资料</w:t>
      </w:r>
    </w:p>
    <w:p w14:paraId="1ACA79AD">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（1）、提供主机及配套设备的相关技术资料。</w:t>
      </w:r>
    </w:p>
    <w:p w14:paraId="651A671F">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（2)、进口产品按要求提供报关单、完税证明，属商检产品提供商检报告。</w:t>
      </w:r>
    </w:p>
    <w:p w14:paraId="02FD3834">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2.6安装调试设备完后及时清理现场垃圾。</w:t>
      </w:r>
    </w:p>
    <w:p w14:paraId="176BD4EA">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2.7如投标人提供设备与招标文件约定的性能不完全一致，存在虚假，经验收不合格者可解除合同。</w:t>
      </w:r>
    </w:p>
    <w:p w14:paraId="00DDDA6A">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3、质量保证和售后服务</w:t>
      </w:r>
    </w:p>
    <w:p w14:paraId="76C2D92E">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3.1投标人保证提供的设备必须为正规渠道销售的设备，并为全新未使用过的。设备必须符合国家检测标准，投标人承诺所供设备与成交所示设备明细完全一致，不存在任何偏差。</w:t>
      </w:r>
    </w:p>
    <w:p w14:paraId="50341352">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3.2如因设备的质量问题发生纠纷，应由具有鉴定资质的鉴定机构进行质量鉴定，鉴定费用由投标人承担。</w:t>
      </w:r>
    </w:p>
    <w:p w14:paraId="2EDC8F88">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3.3乙方保证合同设备不侵犯任何第三方的专利、商标或版权。否则，乙方须承担由此对第三方的专利或版权的侵权责任并承担因此而发生的所有费用。</w:t>
      </w:r>
    </w:p>
    <w:p w14:paraId="36CD09BF">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3.4投标人负责指导和培训采购人维修及使用规范，主要内容为设备的基本结构、性能、主要部件的构造及修理，日常使用保养与管理，常见故障的排除、紧急情况的处理等，培训地点在设备安装现场或按采购人安排。</w:t>
      </w:r>
    </w:p>
    <w:p w14:paraId="24997007">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3.5投标人提供</w:t>
      </w:r>
      <w:r>
        <w:rPr>
          <w:rFonts w:hint="eastAsia" w:ascii="仿宋" w:hAnsi="仿宋" w:eastAsia="仿宋" w:cs="仿宋"/>
          <w:b w:val="0"/>
          <w:bCs w:val="0"/>
          <w:color w:val="auto"/>
          <w:kern w:val="2"/>
          <w:sz w:val="24"/>
          <w:szCs w:val="24"/>
          <w:u w:val="single"/>
          <w:lang w:val="en-US" w:eastAsia="zh-Hans" w:bidi="ar-SA"/>
        </w:rPr>
        <w:t xml:space="preserve"> 5年 </w:t>
      </w:r>
      <w:r>
        <w:rPr>
          <w:rFonts w:hint="eastAsia" w:ascii="仿宋" w:hAnsi="仿宋" w:eastAsia="仿宋" w:cs="仿宋"/>
          <w:b w:val="0"/>
          <w:bCs w:val="0"/>
          <w:color w:val="auto"/>
          <w:kern w:val="2"/>
          <w:sz w:val="24"/>
          <w:szCs w:val="24"/>
          <w:lang w:val="en-US" w:eastAsia="zh-Hans" w:bidi="ar-SA"/>
        </w:rPr>
        <w:t>的质保期，从设备安装验收合格之日算起。在此期间所有维修费用由投标人承担。生产厂家若提供更长的保修期限，应由生产厂家出具盖章的售后服务承诺函及厂家资质材料。</w:t>
      </w:r>
    </w:p>
    <w:p w14:paraId="58EFA418">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3.6投标人接到采购人设备故障报修，须在24小时内到现场检修（不可抗力因素除外），迅速解决问题。如因投标人无法及时到场检修或者不配合进行检修，采购人有权聘请第三方进行检修，由此产生的费用由投标人承担。</w:t>
      </w:r>
    </w:p>
    <w:p w14:paraId="4E45D691">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3.7投标人保证年开机率大于95％（按365天计算），若≤95％则每少一天，相应延长保修期七天。保修期满后，投标人可以继续为设备提供有偿维修服务。</w:t>
      </w:r>
    </w:p>
    <w:p w14:paraId="5EF3FE32">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3.8投标人应完全遵守《中华人民共和国劳动法》关于性别平等的相关规定和《中华人民共和国妇女权益保障法》中关于“劳动和社会保障权益”的有关要求。</w:t>
      </w:r>
    </w:p>
    <w:p w14:paraId="0449BE06">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3.9如果货物(含软件及相关服务)涉及采购人软件链接，投标人应负责货物(含软件及相关服务)与采购人网络端口链接的相关安装及费用。</w:t>
      </w:r>
    </w:p>
    <w:p w14:paraId="51ECC895">
      <w:pPr>
        <w:rPr>
          <w:rFonts w:hint="eastAsia" w:ascii="仿宋" w:hAnsi="仿宋" w:eastAsia="仿宋" w:cs="仿宋"/>
          <w:b/>
          <w:bCs/>
          <w:color w:val="auto"/>
          <w:kern w:val="2"/>
          <w:sz w:val="24"/>
          <w:szCs w:val="24"/>
          <w:lang w:val="en-US" w:eastAsia="zh-Hans" w:bidi="ar-SA"/>
        </w:rPr>
      </w:pPr>
      <w:r>
        <w:rPr>
          <w:rFonts w:hint="eastAsia" w:ascii="仿宋" w:hAnsi="仿宋" w:eastAsia="仿宋" w:cs="仿宋"/>
          <w:b/>
          <w:bCs/>
          <w:color w:val="auto"/>
          <w:kern w:val="2"/>
          <w:sz w:val="24"/>
          <w:szCs w:val="24"/>
          <w:lang w:val="en-US" w:eastAsia="zh-Hans" w:bidi="ar-SA"/>
        </w:rPr>
        <w:t>4、付款方式</w:t>
      </w:r>
    </w:p>
    <w:p w14:paraId="48D71CE9">
      <w:pPr>
        <w:spacing w:line="360" w:lineRule="auto"/>
        <w:ind w:firstLine="482" w:firstLineChars="200"/>
        <w:rPr>
          <w:rFonts w:hint="eastAsia" w:ascii="仿宋" w:hAnsi="仿宋" w:eastAsia="仿宋" w:cs="仿宋"/>
          <w:b/>
          <w:bCs/>
          <w:color w:val="auto"/>
          <w:sz w:val="24"/>
          <w:szCs w:val="24"/>
          <w:lang w:val="en-US" w:eastAsia="zh-Hans"/>
        </w:rPr>
      </w:pPr>
      <w:r>
        <w:rPr>
          <w:rFonts w:hint="eastAsia" w:ascii="仿宋" w:hAnsi="仿宋" w:eastAsia="仿宋" w:cs="仿宋"/>
          <w:b/>
          <w:bCs/>
          <w:color w:val="auto"/>
          <w:sz w:val="24"/>
          <w:szCs w:val="24"/>
          <w:lang w:val="en-US" w:eastAsia="zh-Hans"/>
        </w:rPr>
        <w:t>合同金额小于10万：</w:t>
      </w:r>
    </w:p>
    <w:p w14:paraId="403F15CE">
      <w:pPr>
        <w:spacing w:line="360" w:lineRule="auto"/>
        <w:ind w:firstLine="480" w:firstLineChars="200"/>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4.1投标人</w:t>
      </w:r>
      <w:r>
        <w:rPr>
          <w:rFonts w:hint="eastAsia" w:ascii="仿宋" w:hAnsi="仿宋" w:eastAsia="仿宋" w:cs="仿宋"/>
          <w:color w:val="auto"/>
          <w:sz w:val="24"/>
          <w:szCs w:val="24"/>
          <w:lang w:val="en-US" w:eastAsia="zh-Hans"/>
        </w:rPr>
        <w:t>交付货物时一并开具全额正规发票给</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，设备经</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验收合格后，</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向</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指定银行账户支付合同合计5%的设备质保金并提供转账凭证，</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向</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支付合同合计金额100%的货款。</w:t>
      </w:r>
    </w:p>
    <w:p w14:paraId="4D74E1CD">
      <w:pPr>
        <w:spacing w:line="360" w:lineRule="auto"/>
        <w:ind w:firstLine="480" w:firstLineChars="200"/>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4.2</w:t>
      </w:r>
      <w:r>
        <w:rPr>
          <w:rFonts w:hint="eastAsia" w:ascii="仿宋" w:hAnsi="仿宋" w:eastAsia="仿宋" w:cs="仿宋"/>
          <w:color w:val="auto"/>
          <w:sz w:val="24"/>
          <w:szCs w:val="24"/>
          <w:lang w:val="en-US" w:eastAsia="zh-Hans"/>
        </w:rPr>
        <w:t>设备验收合格之日起</w:t>
      </w:r>
      <w:r>
        <w:rPr>
          <w:rFonts w:hint="eastAsia" w:ascii="仿宋" w:hAnsi="仿宋" w:eastAsia="仿宋" w:cs="仿宋"/>
          <w:color w:val="auto"/>
          <w:sz w:val="24"/>
          <w:szCs w:val="24"/>
          <w:u w:val="single"/>
          <w:lang w:val="en-US" w:eastAsia="zh-CN"/>
        </w:rPr>
        <w:t>3</w:t>
      </w:r>
      <w:r>
        <w:rPr>
          <w:rFonts w:hint="eastAsia" w:ascii="仿宋" w:hAnsi="仿宋" w:eastAsia="仿宋" w:cs="仿宋"/>
          <w:color w:val="auto"/>
          <w:sz w:val="24"/>
          <w:szCs w:val="24"/>
          <w:lang w:val="en-US" w:eastAsia="zh-Hans"/>
        </w:rPr>
        <w:t>年后无任何质量问题，合同合计金额5%的设备质保金</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无息一次性支付给</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 xml:space="preserve">。  </w:t>
      </w:r>
    </w:p>
    <w:p w14:paraId="2FB8D775">
      <w:pPr>
        <w:spacing w:line="360" w:lineRule="auto"/>
        <w:ind w:firstLine="482" w:firstLineChars="200"/>
        <w:rPr>
          <w:rFonts w:hint="eastAsia" w:ascii="仿宋" w:hAnsi="仿宋" w:eastAsia="仿宋" w:cs="仿宋"/>
          <w:b/>
          <w:bCs/>
          <w:color w:val="auto"/>
          <w:sz w:val="24"/>
          <w:szCs w:val="24"/>
          <w:lang w:val="en-US" w:eastAsia="zh-Hans"/>
        </w:rPr>
      </w:pPr>
      <w:r>
        <w:rPr>
          <w:rFonts w:hint="eastAsia" w:ascii="仿宋" w:hAnsi="仿宋" w:eastAsia="仿宋" w:cs="仿宋"/>
          <w:b/>
          <w:bCs/>
          <w:color w:val="auto"/>
          <w:sz w:val="24"/>
          <w:szCs w:val="24"/>
          <w:lang w:val="en-US" w:eastAsia="zh-Hans"/>
        </w:rPr>
        <w:t>合同金额大于等于10万：</w:t>
      </w:r>
    </w:p>
    <w:p w14:paraId="648C8ECF">
      <w:pPr>
        <w:spacing w:line="360" w:lineRule="auto"/>
        <w:ind w:firstLine="480" w:firstLineChars="200"/>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4.3</w:t>
      </w:r>
      <w:r>
        <w:rPr>
          <w:rFonts w:hint="eastAsia" w:ascii="仿宋" w:hAnsi="仿宋" w:eastAsia="仿宋" w:cs="仿宋"/>
          <w:color w:val="auto"/>
          <w:sz w:val="24"/>
          <w:szCs w:val="24"/>
          <w:lang w:val="en-US" w:eastAsia="zh-Hans"/>
        </w:rPr>
        <w:t>合同签订后,设备到货，正式验收合格后，</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按照法律规定出具等额税费票据、验收合格单、合同总价款5%的银行保函原件（银行保函需可提供线上查询或在海南本地银行开具）及合同等相关凭证，</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收到</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上述付款材料后15个工作日内，向</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支付合同总价款的100%支付至</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指定账户；</w:t>
      </w:r>
    </w:p>
    <w:p w14:paraId="0B52453E">
      <w:pPr>
        <w:spacing w:line="360" w:lineRule="auto"/>
        <w:ind w:firstLine="480" w:firstLineChars="200"/>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4.4</w:t>
      </w:r>
      <w:r>
        <w:rPr>
          <w:rFonts w:hint="eastAsia" w:ascii="仿宋" w:hAnsi="仿宋" w:eastAsia="仿宋" w:cs="仿宋"/>
          <w:color w:val="auto"/>
          <w:sz w:val="24"/>
          <w:szCs w:val="24"/>
          <w:lang w:val="en-US" w:eastAsia="zh-Hans"/>
        </w:rPr>
        <w:t>开具的5%银行质量保函有效期为</w:t>
      </w:r>
      <w:r>
        <w:rPr>
          <w:rFonts w:hint="eastAsia" w:ascii="仿宋" w:hAnsi="仿宋" w:eastAsia="仿宋" w:cs="仿宋"/>
          <w:color w:val="auto"/>
          <w:sz w:val="24"/>
          <w:szCs w:val="24"/>
          <w:u w:val="single"/>
          <w:lang w:val="en-US" w:eastAsia="zh-CN"/>
        </w:rPr>
        <w:t>3</w:t>
      </w:r>
      <w:r>
        <w:rPr>
          <w:rFonts w:hint="eastAsia" w:ascii="仿宋" w:hAnsi="仿宋" w:eastAsia="仿宋" w:cs="仿宋"/>
          <w:color w:val="auto"/>
          <w:sz w:val="24"/>
          <w:szCs w:val="24"/>
          <w:lang w:val="en-US" w:eastAsia="zh-Hans"/>
        </w:rPr>
        <w:t>年，如</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单次开具的质量保函不满足该期限要求，应当在该质量保函到期前重新开具质量保函以满足本合同的质量保证期限。</w:t>
      </w:r>
    </w:p>
    <w:p w14:paraId="7346A97E">
      <w:pPr>
        <w:spacing w:line="360" w:lineRule="auto"/>
        <w:ind w:firstLine="480" w:firstLineChars="200"/>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4.5</w:t>
      </w:r>
      <w:r>
        <w:rPr>
          <w:rFonts w:hint="eastAsia" w:ascii="仿宋" w:hAnsi="仿宋" w:eastAsia="仿宋" w:cs="仿宋"/>
          <w:color w:val="auto"/>
          <w:sz w:val="24"/>
          <w:szCs w:val="24"/>
          <w:lang w:val="en-US" w:eastAsia="zh-Hans"/>
        </w:rPr>
        <w:t>设备自验收合格之日起</w:t>
      </w:r>
      <w:r>
        <w:rPr>
          <w:rFonts w:hint="eastAsia" w:ascii="仿宋" w:hAnsi="仿宋" w:eastAsia="仿宋" w:cs="仿宋"/>
          <w:color w:val="auto"/>
          <w:sz w:val="24"/>
          <w:szCs w:val="24"/>
          <w:u w:val="single"/>
          <w:lang w:val="en-US" w:eastAsia="zh-CN"/>
        </w:rPr>
        <w:t>3</w:t>
      </w:r>
      <w:r>
        <w:rPr>
          <w:rFonts w:hint="eastAsia" w:ascii="仿宋" w:hAnsi="仿宋" w:eastAsia="仿宋" w:cs="仿宋"/>
          <w:color w:val="auto"/>
          <w:sz w:val="24"/>
          <w:szCs w:val="24"/>
          <w:lang w:val="en-US" w:eastAsia="zh-Hans"/>
        </w:rPr>
        <w:t>年后，经</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确认</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所提供设备无任何产品质量、售后问题，</w:t>
      </w:r>
      <w:r>
        <w:rPr>
          <w:rFonts w:hint="eastAsia" w:ascii="仿宋" w:hAnsi="仿宋" w:eastAsia="仿宋" w:cs="仿宋"/>
          <w:color w:val="auto"/>
          <w:sz w:val="24"/>
          <w:szCs w:val="24"/>
          <w:lang w:val="en-US" w:eastAsia="zh-CN"/>
        </w:rPr>
        <w:t>采购人</w:t>
      </w:r>
      <w:r>
        <w:rPr>
          <w:rFonts w:hint="eastAsia" w:ascii="仿宋" w:hAnsi="仿宋" w:eastAsia="仿宋" w:cs="仿宋"/>
          <w:color w:val="auto"/>
          <w:sz w:val="24"/>
          <w:szCs w:val="24"/>
          <w:lang w:val="en-US" w:eastAsia="zh-Hans"/>
        </w:rPr>
        <w:t>将合同总价款5%的银行保函原件退还给</w:t>
      </w: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lang w:val="en-US" w:eastAsia="zh-Hans"/>
        </w:rPr>
        <w:t>。</w:t>
      </w:r>
    </w:p>
    <w:p w14:paraId="696B8686">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 xml:space="preserve">5、其他要求 </w:t>
      </w:r>
    </w:p>
    <w:p w14:paraId="12939937">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5.1如供应商所投产品使用过程中需配套专机专用耗材的,即不兼容使用其他厂家生产的第三方耗材。则:</w:t>
      </w:r>
    </w:p>
    <w:p w14:paraId="48DC0A8C">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 xml:space="preserve">   5.2供应商须具备向采购人提供该种专机专用耗材的完整能力，即在不涉及采购人的情况下由供应商自行取得向采购人提供该种耗材的完整、持续、合法的能力链;</w:t>
      </w:r>
    </w:p>
    <w:p w14:paraId="242DA867">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 xml:space="preserve">   5.3供应商须出具所投产品专机专用属性耗材说明函，对所投产品专机专用属性进行详细说明并承诺验收上线使用后如发生因相关技术、授权等原因导致该耗材专机专用属性失效情形的将第一时间通知采购人,同时接受采购人针对该种耗材的采购方案调整;</w:t>
      </w:r>
    </w:p>
    <w:p w14:paraId="688B368B">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 xml:space="preserve">  5.4供应商须接受具体耗材采购计划完全由采购人自主决定;</w:t>
      </w:r>
    </w:p>
    <w:p w14:paraId="0E4730D6">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 xml:space="preserve">  5.5供应商须接受具体专机专用耗材的销售单价与采购人通过另行谈判确定，谈判依据以采购人市场调研询价结果的最低价为准，如国家或海南省已确定集采方案的从其规定;</w:t>
      </w:r>
    </w:p>
    <w:p w14:paraId="33055319">
      <w:pPr>
        <w:rPr>
          <w:rFonts w:hint="eastAsia" w:ascii="仿宋" w:hAnsi="仿宋" w:eastAsia="仿宋" w:cs="仿宋"/>
          <w:b w:val="0"/>
          <w:bCs w:val="0"/>
          <w:color w:val="auto"/>
          <w:kern w:val="2"/>
          <w:sz w:val="24"/>
          <w:szCs w:val="24"/>
          <w:lang w:val="en-US" w:eastAsia="zh-Hans" w:bidi="ar-SA"/>
        </w:rPr>
      </w:pPr>
      <w:r>
        <w:rPr>
          <w:rFonts w:hint="eastAsia" w:ascii="仿宋" w:hAnsi="仿宋" w:eastAsia="仿宋" w:cs="仿宋"/>
          <w:b w:val="0"/>
          <w:bCs w:val="0"/>
          <w:color w:val="auto"/>
          <w:kern w:val="2"/>
          <w:sz w:val="24"/>
          <w:szCs w:val="24"/>
          <w:lang w:val="en-US" w:eastAsia="zh-Hans" w:bidi="ar-SA"/>
        </w:rPr>
        <w:t xml:space="preserve">  5.6以上事项供应商不作如实说明的，则采购人有权在任何时间取消其中标供应商身份并以无责任一方身份拒绝或取消签订的采购合同,因中标供应商虚假应答造成采购人损失的由中标供应商完全承担。如中标供应商已收到货款，须在三个工作日内将货款如数退回采购人原账户并以该项目采购年度内一年期贷款市场报价利率的最高利率为标准向采购人支付项目违约金。</w:t>
      </w:r>
    </w:p>
    <w:p w14:paraId="7D0F3B08">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909EC2"/>
    <w:multiLevelType w:val="singleLevel"/>
    <w:tmpl w:val="CD909EC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125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Times New Roman" w:hAnsi="Times New Roman" w:eastAsia="宋体" w:cs="Times New Roman"/>
      <w:szCs w:val="24"/>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2026-03-23T06:24:26Z</dcterms:created>
  <dc:creator>hh</dc:creator>
  <cp:lastModifiedBy>HNCZ</cp:lastModifiedBy>
  <dcterms:modified xsi:type="dcterms:W3CDTF">2026-03-23T06:25:14Z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eyJoZGlkIjoiYmVjNDFhNTJjYmNhZjA0OTZlYTg5YzdhOWRlNGRiMDEiLCJ1c2VySWQiOiI2MzU0ODc5NTgifQ==</vt:lpwstr>
  </property>
  <property fmtid="{D5CDD505-2E9C-101B-9397-08002B2CF9AE}" pid="4" name="ICV">
    <vt:lpwstr>D3388DB77C4642068AC946D5ECA2AD3E_12</vt:lpwstr>
  </property>
</Properties>
</file>